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right="23"/>
        <w:jc w:val="both"/>
        <w:outlineLvl w:val="1"/>
        <w:rPr>
          <w:rFonts w:hAnsi="仿宋_GB2312"/>
          <w:b/>
          <w:bCs/>
          <w:color w:val="auto"/>
          <w:sz w:val="32"/>
          <w:szCs w:val="32"/>
        </w:rPr>
      </w:pPr>
      <w:r>
        <w:rPr>
          <w:rFonts w:hint="eastAsia" w:hAnsi="仿宋_GB2312"/>
          <w:b/>
          <w:bCs/>
          <w:color w:val="auto"/>
          <w:sz w:val="32"/>
          <w:szCs w:val="32"/>
        </w:rPr>
        <w:t>附件三</w:t>
      </w:r>
    </w:p>
    <w:p>
      <w:pPr>
        <w:spacing w:line="360" w:lineRule="auto"/>
        <w:ind w:firstLine="2080" w:firstLineChars="74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各地市第三季度视频监控统计表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27"/>
        <w:gridCol w:w="1374"/>
        <w:gridCol w:w="1425"/>
        <w:gridCol w:w="117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地市名称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视频监控点总数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在线视频监控点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离线视频监控点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平均在线率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同上季度环比增长率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西安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94%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铜川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59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94%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-3.1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宝鸡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93%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-7.1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咸阳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97%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渭南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98%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延安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83%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汉中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78%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-11.4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榆林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18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-4.9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安康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40%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-16.7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商洛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75%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-8.5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韩城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97%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沿黄公路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67%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视频总计</w:t>
            </w:r>
          </w:p>
        </w:tc>
        <w:tc>
          <w:tcPr>
            <w:tcW w:w="1527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143</w:t>
            </w:r>
          </w:p>
        </w:tc>
        <w:tc>
          <w:tcPr>
            <w:tcW w:w="1374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128</w:t>
            </w:r>
          </w:p>
        </w:tc>
        <w:tc>
          <w:tcPr>
            <w:tcW w:w="1425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1171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90%</w:t>
            </w:r>
          </w:p>
        </w:tc>
        <w:tc>
          <w:tcPr>
            <w:tcW w:w="1692" w:type="dxa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1.1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967" w:firstLineChars="344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967" w:firstLineChars="344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第三季度陕西省路网管理与应急指挥系统登录情况</w:t>
      </w: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及事件录入通报表（</w:t>
      </w:r>
      <w:r>
        <w:rPr>
          <w:rFonts w:ascii="仿宋" w:hAnsi="仿宋" w:eastAsia="仿宋"/>
          <w:b/>
          <w:sz w:val="28"/>
          <w:szCs w:val="28"/>
        </w:rPr>
        <w:t>2018.7.1-9.30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tbl>
      <w:tblPr>
        <w:tblStyle w:val="3"/>
        <w:tblpPr w:leftFromText="180" w:rightFromText="180" w:vertAnchor="page" w:horzAnchor="margin" w:tblpXSpec="center" w:tblpY="331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080"/>
        <w:gridCol w:w="943"/>
        <w:gridCol w:w="947"/>
        <w:gridCol w:w="947"/>
        <w:gridCol w:w="1267"/>
        <w:gridCol w:w="1080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系统登录情况统计（次）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系统事件录入情况统计（件）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  <w:vMerge w:val="continue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事件总数量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及时上报数量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延迟上报数量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未上报数量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事件录入完整率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事件办结率</w:t>
            </w:r>
          </w:p>
        </w:tc>
        <w:tc>
          <w:tcPr>
            <w:tcW w:w="1116" w:type="dxa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西安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0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0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咸阳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93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个预计恢复事件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铜川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438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7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宝鸡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52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52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个预计恢复时间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渭南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89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韩城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94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个预计恢复事件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汉中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个预计恢复事件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商洛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8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8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个预计恢复事件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安康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93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延安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56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榆林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93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18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18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个预计恢复事件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计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1202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140</w:t>
            </w:r>
          </w:p>
        </w:tc>
        <w:tc>
          <w:tcPr>
            <w:tcW w:w="9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140</w:t>
            </w: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100%</w:t>
            </w:r>
          </w:p>
        </w:tc>
        <w:tc>
          <w:tcPr>
            <w:tcW w:w="111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607C"/>
    <w:rsid w:val="564A60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2018-10-25T08:19:00Z</dcterms:created>
  <dc:creator>wang</dc:creator>
  <cp:lastModifiedBy>wang</cp:lastModifiedBy>
  <dcterms:modified xsi:type="dcterms:W3CDTF">2018-10-25T08:19:25Z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