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Default ContentType="image/x-wmf" Extension="wmf"/>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0" w:beforeLines="50" w:after="120" w:afterLines="50" w:line="360" w:lineRule="auto"/>
        <w:jc w:val="center"/>
        <w:rPr>
          <w:rFonts w:hint="eastAsia" w:ascii="宋体" w:hAnsi="宋体" w:cs="宋体"/>
          <w:b/>
          <w:bCs/>
          <w:spacing w:val="-6"/>
          <w:sz w:val="32"/>
          <w:szCs w:val="32"/>
          <w:lang w:eastAsia="zh-CN"/>
        </w:rPr>
      </w:pPr>
      <w:bookmarkStart w:id="3" w:name="_GoBack"/>
      <w:bookmarkEnd w:id="3"/>
      <w:r>
        <w:rPr>
          <w:rFonts w:hint="eastAsia" w:ascii="宋体" w:hAnsi="宋体" w:cs="宋体"/>
          <w:b/>
          <w:bCs/>
          <w:spacing w:val="-6"/>
          <w:sz w:val="32"/>
          <w:szCs w:val="32"/>
        </w:rPr>
        <w:t>延长至黄龙、宁陕至石泉高速公路</w:t>
      </w:r>
      <w:r>
        <w:rPr>
          <w:rFonts w:hint="eastAsia" w:ascii="宋体" w:hAnsi="宋体" w:cs="宋体"/>
          <w:b/>
          <w:bCs/>
          <w:spacing w:val="-6"/>
          <w:sz w:val="32"/>
          <w:szCs w:val="32"/>
          <w:lang w:eastAsia="zh-CN"/>
        </w:rPr>
        <w:t>施工监理招标评标办法</w:t>
      </w:r>
    </w:p>
    <w:p>
      <w:pPr>
        <w:ind w:firstLine="480"/>
        <w:rPr>
          <w:rFonts w:hint="eastAsia" w:ascii="宋体" w:hAnsi="宋体" w:cs="宋体"/>
          <w:sz w:val="24"/>
          <w:szCs w:val="24"/>
        </w:rPr>
      </w:pPr>
    </w:p>
    <w:p>
      <w:pPr>
        <w:pStyle w:val="4"/>
        <w:spacing w:before="0" w:after="0" w:line="360" w:lineRule="auto"/>
        <w:jc w:val="left"/>
        <w:rPr>
          <w:rFonts w:hint="eastAsia" w:ascii="宋体" w:hAnsi="宋体" w:cs="宋体"/>
          <w:kern w:val="0"/>
          <w:sz w:val="21"/>
          <w:szCs w:val="21"/>
        </w:rPr>
      </w:pPr>
      <w:r>
        <w:rPr>
          <w:rFonts w:hint="eastAsia" w:ascii="宋体" w:hAnsi="宋体" w:cs="宋体"/>
          <w:kern w:val="0"/>
          <w:sz w:val="21"/>
          <w:szCs w:val="21"/>
          <w:lang w:eastAsia="zh-CN"/>
        </w:rPr>
        <w:t>一、</w:t>
      </w:r>
      <w:r>
        <w:rPr>
          <w:rFonts w:hint="eastAsia" w:ascii="宋体" w:hAnsi="宋体" w:cs="宋体"/>
          <w:kern w:val="0"/>
          <w:sz w:val="21"/>
          <w:szCs w:val="21"/>
        </w:rPr>
        <w:t xml:space="preserve"> 评审程序</w:t>
      </w:r>
    </w:p>
    <w:p>
      <w:pPr>
        <w:snapToGrid w:val="0"/>
        <w:spacing w:line="360" w:lineRule="auto"/>
        <w:ind w:firstLine="420" w:firstLineChars="200"/>
        <w:rPr>
          <w:rFonts w:hint="eastAsia" w:ascii="宋体" w:hAnsi="宋体" w:cs="宋体"/>
        </w:rPr>
      </w:pPr>
      <w:r>
        <w:rPr>
          <w:rFonts w:hint="eastAsia" w:ascii="宋体" w:hAnsi="宋体" w:cs="宋体"/>
        </w:rPr>
        <w:t>（</w:t>
      </w:r>
      <w:r>
        <w:rPr>
          <w:rFonts w:hint="eastAsia" w:ascii="宋体" w:hAnsi="宋体" w:cs="宋体"/>
          <w:lang w:val="en-US" w:eastAsia="zh-CN"/>
        </w:rPr>
        <w:t>1</w:t>
      </w:r>
      <w:r>
        <w:rPr>
          <w:rFonts w:hint="eastAsia" w:ascii="宋体" w:hAnsi="宋体" w:cs="宋体"/>
        </w:rPr>
        <w:t>）初步评审；</w:t>
      </w:r>
    </w:p>
    <w:p>
      <w:pPr>
        <w:snapToGrid w:val="0"/>
        <w:spacing w:line="360" w:lineRule="auto"/>
        <w:ind w:firstLine="420" w:firstLineChars="200"/>
        <w:rPr>
          <w:rFonts w:hint="eastAsia" w:ascii="宋体" w:hAnsi="宋体" w:cs="宋体"/>
        </w:rPr>
      </w:pPr>
      <w:r>
        <w:rPr>
          <w:rFonts w:hint="eastAsia" w:ascii="宋体" w:hAnsi="宋体" w:cs="宋体"/>
        </w:rPr>
        <w:t>（2）资格审查；</w:t>
      </w:r>
    </w:p>
    <w:p>
      <w:pPr>
        <w:snapToGrid w:val="0"/>
        <w:spacing w:line="360" w:lineRule="auto"/>
        <w:ind w:firstLine="420" w:firstLineChars="200"/>
        <w:rPr>
          <w:rFonts w:hint="eastAsia" w:ascii="宋体" w:hAnsi="宋体" w:cs="宋体"/>
        </w:rPr>
      </w:pPr>
      <w:r>
        <w:rPr>
          <w:rFonts w:hint="eastAsia" w:ascii="宋体" w:hAnsi="宋体" w:cs="宋体"/>
        </w:rPr>
        <w:t>（3）详细评审；</w:t>
      </w:r>
    </w:p>
    <w:p>
      <w:pPr>
        <w:snapToGrid w:val="0"/>
        <w:spacing w:line="360" w:lineRule="auto"/>
        <w:ind w:firstLine="420" w:firstLineChars="200"/>
        <w:rPr>
          <w:rFonts w:hint="eastAsia" w:ascii="宋体" w:hAnsi="宋体" w:cs="宋体"/>
        </w:rPr>
      </w:pPr>
      <w:r>
        <w:rPr>
          <w:rFonts w:hint="eastAsia" w:ascii="宋体" w:hAnsi="宋体" w:cs="宋体"/>
        </w:rPr>
        <w:t>（4）投标文件的澄清；</w:t>
      </w:r>
    </w:p>
    <w:p>
      <w:pPr>
        <w:snapToGrid w:val="0"/>
        <w:spacing w:line="360" w:lineRule="auto"/>
        <w:ind w:firstLine="420" w:firstLineChars="200"/>
        <w:rPr>
          <w:rFonts w:hint="eastAsia" w:ascii="宋体" w:hAnsi="宋体" w:cs="宋体"/>
        </w:rPr>
      </w:pPr>
      <w:r>
        <w:rPr>
          <w:rFonts w:hint="eastAsia" w:ascii="宋体" w:hAnsi="宋体" w:cs="宋体"/>
        </w:rPr>
        <w:t>（5）综合评分；</w:t>
      </w:r>
    </w:p>
    <w:p>
      <w:pPr>
        <w:snapToGrid w:val="0"/>
        <w:spacing w:line="360" w:lineRule="auto"/>
        <w:ind w:firstLine="420" w:firstLineChars="200"/>
        <w:rPr>
          <w:rFonts w:hint="eastAsia" w:ascii="宋体" w:hAnsi="宋体" w:cs="宋体"/>
        </w:rPr>
      </w:pPr>
      <w:r>
        <w:rPr>
          <w:rFonts w:hint="eastAsia" w:ascii="宋体" w:hAnsi="宋体" w:cs="宋体"/>
        </w:rPr>
        <w:t>（6）推荐中标候选人；</w:t>
      </w:r>
    </w:p>
    <w:p>
      <w:pPr>
        <w:snapToGrid w:val="0"/>
        <w:spacing w:line="360" w:lineRule="auto"/>
        <w:ind w:firstLine="420" w:firstLineChars="200"/>
        <w:rPr>
          <w:rFonts w:hint="eastAsia" w:ascii="宋体" w:hAnsi="宋体" w:cs="宋体"/>
        </w:rPr>
      </w:pPr>
      <w:r>
        <w:rPr>
          <w:rFonts w:hint="eastAsia" w:ascii="宋体" w:hAnsi="宋体" w:cs="宋体"/>
        </w:rPr>
        <w:t>（7）编写评标报告。</w:t>
      </w:r>
    </w:p>
    <w:p>
      <w:pPr>
        <w:pStyle w:val="2"/>
        <w:numPr>
          <w:ilvl w:val="0"/>
          <w:numId w:val="0"/>
        </w:numPr>
        <w:snapToGrid w:val="0"/>
        <w:spacing w:line="360" w:lineRule="auto"/>
        <w:jc w:val="both"/>
        <w:rPr>
          <w:rFonts w:hint="eastAsia" w:ascii="宋体" w:hAnsi="宋体" w:eastAsia="宋体" w:cs="宋体"/>
          <w:b/>
          <w:bCs/>
          <w:color w:val="auto"/>
          <w:sz w:val="21"/>
          <w:szCs w:val="21"/>
        </w:rPr>
      </w:pPr>
      <w:bookmarkStart w:id="0" w:name="_Toc222740130"/>
      <w:r>
        <w:rPr>
          <w:rFonts w:hint="eastAsia" w:ascii="宋体" w:hAnsi="宋体" w:eastAsia="宋体" w:cs="宋体"/>
          <w:b/>
          <w:bCs/>
          <w:color w:val="auto"/>
          <w:sz w:val="21"/>
          <w:szCs w:val="21"/>
          <w:lang w:eastAsia="zh-CN"/>
        </w:rPr>
        <w:t>二、</w:t>
      </w:r>
      <w:r>
        <w:rPr>
          <w:rFonts w:hint="eastAsia" w:ascii="宋体" w:hAnsi="宋体" w:eastAsia="宋体" w:cs="宋体"/>
          <w:b/>
          <w:bCs/>
          <w:color w:val="auto"/>
          <w:sz w:val="21"/>
          <w:szCs w:val="21"/>
        </w:rPr>
        <w:t>初步评审</w:t>
      </w:r>
      <w:bookmarkEnd w:id="0"/>
    </w:p>
    <w:p>
      <w:pPr>
        <w:snapToGrid w:val="0"/>
        <w:spacing w:line="360" w:lineRule="auto"/>
        <w:ind w:firstLine="420" w:firstLineChars="200"/>
        <w:rPr>
          <w:rFonts w:hint="eastAsia" w:ascii="宋体" w:hAnsi="宋体" w:cs="宋体"/>
        </w:rPr>
      </w:pPr>
      <w:r>
        <w:rPr>
          <w:rFonts w:hint="eastAsia" w:ascii="宋体" w:hAnsi="宋体" w:cs="宋体"/>
        </w:rPr>
        <w:t>评标委员会将对投标文件进行初步评审。只有通过初步评审的投标文件才能参加下一阶段评审。通过初步评审的主要条件：</w:t>
      </w:r>
    </w:p>
    <w:p>
      <w:pPr>
        <w:snapToGrid w:val="0"/>
        <w:spacing w:line="360" w:lineRule="auto"/>
        <w:ind w:firstLine="420" w:firstLineChars="200"/>
        <w:rPr>
          <w:rFonts w:hint="eastAsia" w:ascii="宋体" w:hAnsi="宋体" w:cs="宋体"/>
        </w:rPr>
      </w:pPr>
      <w:r>
        <w:rPr>
          <w:rFonts w:hint="eastAsia" w:ascii="宋体" w:hAnsi="宋体" w:cs="宋体"/>
        </w:rPr>
        <w:t>（1）投标文件按照招标文件规定的格式、内容和要求编制，字迹清晰可辨；</w:t>
      </w:r>
    </w:p>
    <w:p>
      <w:pPr>
        <w:snapToGrid w:val="0"/>
        <w:spacing w:line="360" w:lineRule="auto"/>
        <w:ind w:firstLine="420" w:firstLineChars="200"/>
        <w:rPr>
          <w:rFonts w:hint="eastAsia" w:ascii="宋体" w:hAnsi="宋体" w:cs="宋体"/>
        </w:rPr>
      </w:pPr>
      <w:r>
        <w:rPr>
          <w:rFonts w:hint="eastAsia" w:ascii="宋体" w:hAnsi="宋体" w:cs="宋体"/>
        </w:rPr>
        <w:t>（2）投标文件（正本）按招标文件规定签字、加盖投标人公章；</w:t>
      </w:r>
    </w:p>
    <w:p>
      <w:pPr>
        <w:snapToGrid w:val="0"/>
        <w:spacing w:line="360" w:lineRule="auto"/>
        <w:ind w:firstLine="420" w:firstLineChars="200"/>
        <w:rPr>
          <w:rFonts w:hint="eastAsia" w:ascii="宋体" w:hAnsi="宋体" w:cs="宋体"/>
        </w:rPr>
      </w:pPr>
      <w:r>
        <w:rPr>
          <w:rFonts w:hint="eastAsia" w:ascii="宋体" w:hAnsi="宋体" w:cs="宋体"/>
        </w:rPr>
        <w:t>（3）投标人按照招标文件规定的形式、时限和要求提供了投标保证金；</w:t>
      </w:r>
    </w:p>
    <w:p>
      <w:pPr>
        <w:snapToGrid w:val="0"/>
        <w:spacing w:line="360" w:lineRule="auto"/>
        <w:ind w:firstLine="420" w:firstLineChars="200"/>
        <w:rPr>
          <w:rFonts w:hint="eastAsia" w:ascii="宋体" w:hAnsi="宋体" w:cs="宋体"/>
        </w:rPr>
      </w:pPr>
      <w:r>
        <w:rPr>
          <w:rFonts w:hint="eastAsia" w:ascii="宋体" w:hAnsi="宋体" w:cs="宋体"/>
        </w:rPr>
        <w:t>（4）按照招标文件规定提供了法定代表人身份证明、授权书（如有）、公证书；</w:t>
      </w:r>
    </w:p>
    <w:p>
      <w:pPr>
        <w:snapToGrid w:val="0"/>
        <w:spacing w:line="360" w:lineRule="auto"/>
        <w:ind w:firstLine="420" w:firstLineChars="200"/>
        <w:rPr>
          <w:rFonts w:hint="eastAsia" w:ascii="宋体" w:hAnsi="宋体" w:cs="宋体"/>
        </w:rPr>
      </w:pPr>
      <w:r>
        <w:rPr>
          <w:rFonts w:hint="eastAsia" w:ascii="宋体" w:hAnsi="宋体" w:cs="宋体"/>
        </w:rPr>
        <w:t>（5）监理服务期、满足招标文件要求；</w:t>
      </w:r>
    </w:p>
    <w:p>
      <w:pPr>
        <w:snapToGrid w:val="0"/>
        <w:spacing w:line="360" w:lineRule="auto"/>
        <w:ind w:firstLine="420" w:firstLineChars="200"/>
        <w:rPr>
          <w:rFonts w:hint="eastAsia" w:ascii="宋体" w:hAnsi="宋体" w:cs="宋体"/>
        </w:rPr>
      </w:pPr>
      <w:r>
        <w:rPr>
          <w:rFonts w:hint="eastAsia" w:ascii="宋体" w:hAnsi="宋体" w:cs="宋体"/>
        </w:rPr>
        <w:t>（6）投标人未以他人名义投标、未与他人串通投标、未以行贿手段谋取中标，以及未弄虚作假；</w:t>
      </w:r>
    </w:p>
    <w:p>
      <w:pPr>
        <w:snapToGrid w:val="0"/>
        <w:spacing w:line="360" w:lineRule="auto"/>
        <w:ind w:firstLine="420" w:firstLineChars="200"/>
        <w:rPr>
          <w:rFonts w:hint="eastAsia" w:ascii="宋体" w:hAnsi="宋体" w:cs="宋体"/>
        </w:rPr>
      </w:pPr>
      <w:r>
        <w:rPr>
          <w:rFonts w:hint="eastAsia" w:ascii="宋体" w:hAnsi="宋体" w:cs="宋体"/>
        </w:rPr>
        <w:t>（7）投标文件投标书、财务建议书递交函中中所述标段号与包封的标段号一致；</w:t>
      </w:r>
    </w:p>
    <w:p>
      <w:pPr>
        <w:snapToGrid w:val="0"/>
        <w:spacing w:line="360" w:lineRule="auto"/>
        <w:ind w:firstLine="420" w:firstLineChars="200"/>
        <w:rPr>
          <w:rFonts w:hint="eastAsia" w:ascii="宋体" w:hAnsi="宋体" w:cs="宋体"/>
        </w:rPr>
      </w:pPr>
      <w:r>
        <w:rPr>
          <w:rFonts w:hint="eastAsia" w:ascii="宋体" w:hAnsi="宋体" w:cs="宋体"/>
        </w:rPr>
        <w:t>（8）正、副本份数满足招标文件规定；</w:t>
      </w:r>
    </w:p>
    <w:p>
      <w:pPr>
        <w:snapToGrid w:val="0"/>
        <w:spacing w:line="360" w:lineRule="auto"/>
        <w:ind w:firstLine="420" w:firstLineChars="200"/>
        <w:rPr>
          <w:rFonts w:hint="eastAsia" w:ascii="宋体" w:hAnsi="宋体" w:cs="宋体"/>
        </w:rPr>
      </w:pPr>
      <w:r>
        <w:rPr>
          <w:rFonts w:hint="eastAsia" w:ascii="宋体" w:hAnsi="宋体" w:cs="宋体"/>
        </w:rPr>
        <w:t>（9）填写投标报价或投标报价不高于招标人设定的投标控制价上限；</w:t>
      </w:r>
    </w:p>
    <w:p>
      <w:pPr>
        <w:snapToGrid w:val="0"/>
        <w:spacing w:line="360" w:lineRule="auto"/>
        <w:ind w:firstLine="420" w:firstLineChars="200"/>
        <w:rPr>
          <w:rFonts w:hint="eastAsia" w:ascii="宋体" w:hAnsi="宋体" w:cs="宋体"/>
        </w:rPr>
      </w:pPr>
      <w:r>
        <w:rPr>
          <w:rFonts w:hint="eastAsia" w:ascii="宋体" w:hAnsi="宋体" w:cs="宋体"/>
        </w:rPr>
        <w:t>（10）不同投标人投标文件混装；</w:t>
      </w:r>
    </w:p>
    <w:p>
      <w:pPr>
        <w:snapToGrid w:val="0"/>
        <w:spacing w:line="360" w:lineRule="auto"/>
        <w:ind w:firstLine="420" w:firstLineChars="200"/>
        <w:rPr>
          <w:rFonts w:hint="eastAsia" w:ascii="宋体" w:hAnsi="宋体" w:cs="宋体"/>
        </w:rPr>
      </w:pPr>
      <w:r>
        <w:rPr>
          <w:rFonts w:hint="eastAsia" w:ascii="宋体" w:hAnsi="宋体" w:cs="宋体"/>
        </w:rPr>
        <w:t>（11）投标文件未附有招标人不能接受的其他条件。</w:t>
      </w:r>
    </w:p>
    <w:p>
      <w:pPr>
        <w:snapToGrid w:val="0"/>
        <w:spacing w:line="360" w:lineRule="auto"/>
        <w:ind w:firstLine="420" w:firstLineChars="200"/>
        <w:rPr>
          <w:rFonts w:hint="eastAsia" w:ascii="宋体" w:hAnsi="宋体" w:cs="宋体"/>
        </w:rPr>
      </w:pPr>
      <w:r>
        <w:rPr>
          <w:rFonts w:hint="eastAsia" w:ascii="宋体" w:hAnsi="宋体" w:cs="宋体"/>
        </w:rPr>
        <w:t>投标文件不符合以上条件之一的，属于重大偏差，作为废标处理。</w:t>
      </w:r>
    </w:p>
    <w:p>
      <w:pPr>
        <w:pStyle w:val="2"/>
        <w:numPr>
          <w:ilvl w:val="0"/>
          <w:numId w:val="0"/>
        </w:numPr>
        <w:snapToGrid w:val="0"/>
        <w:spacing w:line="360" w:lineRule="auto"/>
        <w:jc w:val="both"/>
        <w:rPr>
          <w:rFonts w:hint="eastAsia" w:ascii="宋体" w:hAnsi="宋体" w:eastAsia="宋体" w:cs="宋体"/>
          <w:b/>
          <w:bCs/>
          <w:color w:val="auto"/>
          <w:sz w:val="21"/>
          <w:szCs w:val="21"/>
        </w:rPr>
      </w:pPr>
      <w:bookmarkStart w:id="1" w:name="_Toc222740131"/>
      <w:r>
        <w:rPr>
          <w:rFonts w:hint="eastAsia" w:ascii="宋体" w:hAnsi="宋体" w:eastAsia="宋体" w:cs="宋体"/>
          <w:b/>
          <w:bCs/>
          <w:color w:val="auto"/>
          <w:sz w:val="21"/>
          <w:szCs w:val="21"/>
          <w:lang w:eastAsia="zh-CN"/>
        </w:rPr>
        <w:t>三、</w:t>
      </w:r>
      <w:r>
        <w:rPr>
          <w:rFonts w:hint="eastAsia" w:ascii="宋体" w:hAnsi="宋体" w:eastAsia="宋体" w:cs="宋体"/>
          <w:b/>
          <w:bCs/>
          <w:color w:val="auto"/>
          <w:sz w:val="21"/>
          <w:szCs w:val="21"/>
        </w:rPr>
        <w:t>资格审查</w:t>
      </w:r>
      <w:bookmarkEnd w:id="1"/>
    </w:p>
    <w:p>
      <w:pPr>
        <w:spacing w:line="360" w:lineRule="auto"/>
        <w:ind w:firstLine="420" w:firstLineChars="200"/>
        <w:rPr>
          <w:rFonts w:hint="eastAsia" w:ascii="宋体" w:hAnsi="宋体" w:cs="宋体"/>
        </w:rPr>
      </w:pPr>
      <w:r>
        <w:rPr>
          <w:rFonts w:hint="eastAsia" w:ascii="宋体" w:hAnsi="宋体" w:cs="宋体"/>
        </w:rPr>
        <w:t>评标委员会根据招标文件资格审查要求，对投标人的资质、业绩、人员、设施设备、财务能力、履约情况等进行评审，判定其是否满足资格审查要求。</w:t>
      </w:r>
    </w:p>
    <w:p>
      <w:pPr>
        <w:spacing w:line="360" w:lineRule="auto"/>
        <w:ind w:firstLine="420" w:firstLineChars="200"/>
        <w:rPr>
          <w:rFonts w:hint="eastAsia" w:ascii="宋体" w:hAnsi="宋体" w:cs="宋体"/>
        </w:rPr>
      </w:pPr>
      <w:r>
        <w:rPr>
          <w:rFonts w:hint="eastAsia" w:ascii="宋体" w:hAnsi="宋体" w:cs="宋体"/>
        </w:rPr>
        <w:t>投标文件任一项条件不满足招标文件资格审查要求的，作废标处理。</w:t>
      </w:r>
    </w:p>
    <w:p>
      <w:pPr>
        <w:pStyle w:val="2"/>
        <w:numPr>
          <w:ilvl w:val="0"/>
          <w:numId w:val="0"/>
        </w:numPr>
        <w:snapToGrid w:val="0"/>
        <w:spacing w:line="360" w:lineRule="auto"/>
        <w:jc w:val="both"/>
        <w:rPr>
          <w:rFonts w:hint="eastAsia" w:ascii="宋体" w:hAnsi="宋体" w:eastAsia="宋体" w:cs="宋体"/>
          <w:b/>
          <w:bCs/>
          <w:color w:val="auto"/>
          <w:sz w:val="21"/>
          <w:szCs w:val="21"/>
        </w:rPr>
      </w:pPr>
      <w:bookmarkStart w:id="2" w:name="_Toc222740132"/>
      <w:r>
        <w:rPr>
          <w:rFonts w:hint="eastAsia" w:ascii="宋体" w:hAnsi="宋体" w:eastAsia="宋体" w:cs="宋体"/>
          <w:b/>
          <w:bCs/>
          <w:color w:val="auto"/>
          <w:sz w:val="21"/>
          <w:szCs w:val="21"/>
          <w:lang w:eastAsia="zh-CN"/>
        </w:rPr>
        <w:t>四、</w:t>
      </w:r>
      <w:r>
        <w:rPr>
          <w:rFonts w:hint="eastAsia" w:ascii="宋体" w:hAnsi="宋体" w:eastAsia="宋体" w:cs="宋体"/>
          <w:b/>
          <w:bCs/>
          <w:color w:val="auto"/>
          <w:sz w:val="21"/>
          <w:szCs w:val="21"/>
        </w:rPr>
        <w:t>详细评审</w:t>
      </w:r>
      <w:bookmarkEnd w:id="2"/>
    </w:p>
    <w:p>
      <w:pPr>
        <w:snapToGrid w:val="0"/>
        <w:spacing w:line="360" w:lineRule="auto"/>
        <w:ind w:firstLine="420" w:firstLineChars="200"/>
        <w:rPr>
          <w:rFonts w:hint="eastAsia" w:ascii="宋体" w:hAnsi="宋体" w:cs="宋体"/>
        </w:rPr>
      </w:pPr>
      <w:r>
        <w:rPr>
          <w:rFonts w:hint="eastAsia" w:ascii="宋体" w:hAnsi="宋体" w:cs="宋体"/>
        </w:rPr>
        <w:t>评标委员会对通过初步评审、资格审查的投标文件从合同条款、监理能力、管理水平以及投标人以往监理业绩及履约信誉等方面进行详细评审，并对商务文件、技术建议书、财务建议书分别评审打分，满分100分；商务、技术、财务分值分别为50分、40分、10分。</w:t>
      </w:r>
    </w:p>
    <w:p>
      <w:pPr>
        <w:pStyle w:val="4"/>
        <w:spacing w:before="0" w:after="0" w:line="360" w:lineRule="auto"/>
        <w:jc w:val="left"/>
        <w:rPr>
          <w:rFonts w:hint="eastAsia" w:ascii="宋体" w:hAnsi="宋体" w:cs="宋体"/>
          <w:kern w:val="0"/>
          <w:sz w:val="21"/>
          <w:szCs w:val="21"/>
        </w:rPr>
      </w:pPr>
      <w:r>
        <w:rPr>
          <w:rFonts w:hint="eastAsia" w:ascii="宋体" w:hAnsi="宋体" w:cs="宋体"/>
          <w:kern w:val="0"/>
          <w:sz w:val="21"/>
          <w:szCs w:val="21"/>
          <w:lang w:val="en-US" w:eastAsia="zh-CN"/>
        </w:rPr>
        <w:t>4</w:t>
      </w:r>
      <w:r>
        <w:rPr>
          <w:rFonts w:hint="eastAsia" w:ascii="宋体" w:hAnsi="宋体" w:cs="宋体"/>
          <w:kern w:val="0"/>
          <w:sz w:val="21"/>
          <w:szCs w:val="21"/>
        </w:rPr>
        <w:t>.</w:t>
      </w:r>
      <w:r>
        <w:rPr>
          <w:rFonts w:hint="eastAsia" w:ascii="宋体" w:hAnsi="宋体" w:cs="宋体"/>
          <w:kern w:val="0"/>
          <w:sz w:val="21"/>
          <w:szCs w:val="21"/>
          <w:lang w:val="en-US" w:eastAsia="zh-CN"/>
        </w:rPr>
        <w:t>1</w:t>
      </w:r>
      <w:r>
        <w:rPr>
          <w:rFonts w:hint="eastAsia" w:ascii="宋体" w:hAnsi="宋体" w:cs="宋体"/>
          <w:kern w:val="0"/>
          <w:sz w:val="21"/>
          <w:szCs w:val="21"/>
        </w:rPr>
        <w:t>商务评审</w:t>
      </w:r>
    </w:p>
    <w:p>
      <w:pPr>
        <w:snapToGrid w:val="0"/>
        <w:spacing w:line="360" w:lineRule="auto"/>
        <w:ind w:firstLine="420" w:firstLineChars="200"/>
        <w:rPr>
          <w:rFonts w:hint="eastAsia" w:ascii="宋体" w:hAnsi="宋体" w:cs="宋体"/>
        </w:rPr>
      </w:pPr>
      <w:r>
        <w:rPr>
          <w:rFonts w:hint="eastAsia" w:ascii="宋体" w:hAnsi="宋体" w:cs="宋体"/>
        </w:rPr>
        <w:t>主要内容和分值范围如下：</w:t>
      </w:r>
    </w:p>
    <w:p>
      <w:pPr>
        <w:pStyle w:val="8"/>
        <w:numPr>
          <w:ilvl w:val="0"/>
          <w:numId w:val="2"/>
        </w:numPr>
        <w:spacing w:line="312" w:lineRule="auto"/>
        <w:ind w:firstLineChars="0"/>
        <w:rPr>
          <w:rFonts w:ascii="宋体" w:hAnsi="宋体" w:cs="宋体"/>
          <w:sz w:val="21"/>
          <w:szCs w:val="21"/>
        </w:rPr>
      </w:pPr>
      <w:r>
        <w:rPr>
          <w:rFonts w:ascii="宋体" w:hAnsi="宋体" w:cs="宋体"/>
          <w:sz w:val="21"/>
          <w:szCs w:val="21"/>
        </w:rPr>
        <w:t>监理人员（</w:t>
      </w:r>
      <w:r>
        <w:rPr>
          <w:rFonts w:hint="eastAsia" w:ascii="宋体" w:hAnsi="宋体" w:cs="宋体"/>
          <w:sz w:val="21"/>
          <w:szCs w:val="21"/>
        </w:rPr>
        <w:t>33</w:t>
      </w:r>
      <w:r>
        <w:rPr>
          <w:rFonts w:ascii="宋体" w:hAnsi="宋体" w:cs="宋体"/>
          <w:sz w:val="21"/>
          <w:szCs w:val="21"/>
        </w:rPr>
        <w:t xml:space="preserve">分）  </w:t>
      </w:r>
    </w:p>
    <w:tbl>
      <w:tblPr>
        <w:tblStyle w:val="7"/>
        <w:tblW w:w="935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
        <w:gridCol w:w="850"/>
        <w:gridCol w:w="851"/>
        <w:gridCol w:w="567"/>
        <w:gridCol w:w="6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tblHeader/>
        </w:trPr>
        <w:tc>
          <w:tcPr>
            <w:tcW w:w="2086" w:type="dxa"/>
            <w:gridSpan w:val="3"/>
            <w:vAlign w:val="center"/>
          </w:tcPr>
          <w:p>
            <w:pPr>
              <w:snapToGrid w:val="0"/>
              <w:jc w:val="center"/>
              <w:rPr>
                <w:rFonts w:ascii="宋体" w:hAnsi="宋体"/>
              </w:rPr>
            </w:pPr>
            <w:r>
              <w:rPr>
                <w:rFonts w:ascii="宋体" w:hAnsi="宋体"/>
              </w:rPr>
              <w:t>评分因素</w:t>
            </w:r>
          </w:p>
        </w:tc>
        <w:tc>
          <w:tcPr>
            <w:tcW w:w="567" w:type="dxa"/>
            <w:vAlign w:val="center"/>
          </w:tcPr>
          <w:p>
            <w:pPr>
              <w:snapToGrid w:val="0"/>
              <w:jc w:val="center"/>
              <w:rPr>
                <w:rFonts w:ascii="宋体" w:hAnsi="宋体"/>
              </w:rPr>
            </w:pPr>
            <w:r>
              <w:rPr>
                <w:rFonts w:ascii="宋体" w:hAnsi="宋体"/>
              </w:rPr>
              <w:t>分值</w:t>
            </w:r>
          </w:p>
        </w:tc>
        <w:tc>
          <w:tcPr>
            <w:tcW w:w="6704" w:type="dxa"/>
            <w:vAlign w:val="center"/>
          </w:tcPr>
          <w:p>
            <w:pPr>
              <w:snapToGrid w:val="0"/>
              <w:jc w:val="center"/>
              <w:rPr>
                <w:rFonts w:ascii="宋体" w:hAnsi="宋体"/>
              </w:rPr>
            </w:pPr>
            <w:r>
              <w:rPr>
                <w:rFonts w:ascii="宋体" w:hAnsi="宋体"/>
              </w:rPr>
              <w:t>评分因素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5" w:hRule="atLeast"/>
        </w:trPr>
        <w:tc>
          <w:tcPr>
            <w:tcW w:w="385" w:type="dxa"/>
            <w:vMerge w:val="restart"/>
            <w:vAlign w:val="center"/>
          </w:tcPr>
          <w:p>
            <w:pPr>
              <w:snapToGrid w:val="0"/>
              <w:ind w:firstLine="420"/>
              <w:jc w:val="center"/>
              <w:rPr>
                <w:rFonts w:ascii="宋体" w:hAnsi="宋体"/>
              </w:rPr>
            </w:pPr>
            <w:r>
              <w:rPr>
                <w:rFonts w:ascii="宋体" w:hAnsi="宋体"/>
              </w:rPr>
              <w:t>主</w:t>
            </w:r>
          </w:p>
          <w:p>
            <w:pPr>
              <w:snapToGrid w:val="0"/>
              <w:spacing w:line="240" w:lineRule="auto"/>
              <w:jc w:val="center"/>
              <w:rPr>
                <w:rFonts w:ascii="宋体" w:hAnsi="宋体"/>
              </w:rPr>
            </w:pPr>
            <w:r>
              <w:rPr>
                <w:rFonts w:hint="eastAsia" w:ascii="宋体" w:hAnsi="宋体"/>
              </w:rPr>
              <w:t>主</w:t>
            </w:r>
            <w:r>
              <w:rPr>
                <w:rFonts w:ascii="宋体" w:hAnsi="宋体"/>
              </w:rPr>
              <w:t>要监理人员</w:t>
            </w:r>
          </w:p>
        </w:tc>
        <w:tc>
          <w:tcPr>
            <w:tcW w:w="850" w:type="dxa"/>
            <w:vMerge w:val="restart"/>
            <w:vAlign w:val="center"/>
          </w:tcPr>
          <w:p>
            <w:pPr>
              <w:jc w:val="center"/>
              <w:rPr>
                <w:rFonts w:ascii="宋体" w:hAnsi="宋体"/>
              </w:rPr>
            </w:pPr>
            <w:r>
              <w:rPr>
                <w:rFonts w:hint="eastAsia" w:ascii="宋体" w:hAnsi="宋体"/>
              </w:rPr>
              <w:t>YH</w:t>
            </w:r>
            <w:r>
              <w:rPr>
                <w:rFonts w:ascii="宋体" w:hAnsi="宋体"/>
              </w:rPr>
              <w:t>ZJ</w:t>
            </w:r>
            <w:r>
              <w:rPr>
                <w:rFonts w:hint="eastAsia" w:ascii="宋体" w:hAnsi="宋体"/>
              </w:rPr>
              <w:t>B</w:t>
            </w:r>
          </w:p>
          <w:p>
            <w:pPr>
              <w:snapToGrid w:val="0"/>
              <w:jc w:val="center"/>
              <w:rPr>
                <w:rFonts w:ascii="宋体" w:hAnsi="宋体"/>
              </w:rPr>
            </w:pPr>
            <w:r>
              <w:rPr>
                <w:rFonts w:hint="eastAsia" w:ascii="宋体" w:hAnsi="宋体"/>
              </w:rPr>
              <w:t>（延黄</w:t>
            </w:r>
            <w:r>
              <w:rPr>
                <w:rFonts w:ascii="宋体" w:hAnsi="宋体"/>
              </w:rPr>
              <w:t>总监办）</w:t>
            </w:r>
          </w:p>
        </w:tc>
        <w:tc>
          <w:tcPr>
            <w:tcW w:w="851" w:type="dxa"/>
            <w:vAlign w:val="center"/>
          </w:tcPr>
          <w:p>
            <w:pPr>
              <w:snapToGrid w:val="0"/>
              <w:jc w:val="center"/>
              <w:rPr>
                <w:rFonts w:ascii="宋体" w:hAnsi="宋体"/>
              </w:rPr>
            </w:pPr>
            <w:r>
              <w:rPr>
                <w:rFonts w:ascii="宋体" w:hAnsi="宋体"/>
              </w:rPr>
              <w:t>总监理工程师</w:t>
            </w:r>
          </w:p>
        </w:tc>
        <w:tc>
          <w:tcPr>
            <w:tcW w:w="567" w:type="dxa"/>
            <w:vAlign w:val="center"/>
          </w:tcPr>
          <w:p>
            <w:pPr>
              <w:snapToGrid w:val="0"/>
              <w:jc w:val="center"/>
              <w:rPr>
                <w:rFonts w:ascii="宋体" w:hAnsi="宋体"/>
              </w:rPr>
            </w:pPr>
            <w:r>
              <w:rPr>
                <w:rFonts w:ascii="宋体" w:hAnsi="宋体"/>
              </w:rPr>
              <w:t>20</w:t>
            </w:r>
          </w:p>
        </w:tc>
        <w:tc>
          <w:tcPr>
            <w:tcW w:w="6704" w:type="dxa"/>
            <w:vAlign w:val="center"/>
          </w:tcPr>
          <w:p>
            <w:pPr>
              <w:snapToGrid w:val="0"/>
              <w:rPr>
                <w:rFonts w:ascii="宋体" w:hAnsi="宋体"/>
              </w:rPr>
            </w:pPr>
            <w:r>
              <w:rPr>
                <w:rFonts w:ascii="宋体" w:hAnsi="宋体"/>
                <w:b/>
                <w:bCs/>
              </w:rPr>
              <w:t>工作经验</w:t>
            </w:r>
            <w:r>
              <w:rPr>
                <w:rFonts w:hint="eastAsia" w:ascii="宋体" w:hAnsi="宋体"/>
                <w:b/>
                <w:bCs/>
              </w:rPr>
              <w:t>10</w:t>
            </w:r>
            <w:r>
              <w:rPr>
                <w:rFonts w:ascii="宋体" w:hAnsi="宋体"/>
                <w:b/>
                <w:bCs/>
              </w:rPr>
              <w:t>分：</w:t>
            </w:r>
            <w:r>
              <w:rPr>
                <w:rFonts w:ascii="宋体" w:hAnsi="宋体"/>
              </w:rPr>
              <w:t>具有5年公路工程监理工作经验得</w:t>
            </w:r>
            <w:r>
              <w:rPr>
                <w:rFonts w:hint="eastAsia" w:ascii="宋体" w:hAnsi="宋体"/>
              </w:rPr>
              <w:t>6</w:t>
            </w:r>
            <w:r>
              <w:rPr>
                <w:rFonts w:ascii="宋体" w:hAnsi="宋体"/>
              </w:rPr>
              <w:t>分，每增加一年加0.</w:t>
            </w:r>
            <w:r>
              <w:rPr>
                <w:rFonts w:hint="eastAsia" w:ascii="宋体" w:hAnsi="宋体"/>
              </w:rPr>
              <w:t>4</w:t>
            </w:r>
            <w:r>
              <w:rPr>
                <w:rFonts w:ascii="宋体" w:hAnsi="宋体"/>
              </w:rPr>
              <w:t>分，最高加</w:t>
            </w:r>
            <w:r>
              <w:rPr>
                <w:rFonts w:hint="eastAsia" w:ascii="宋体" w:hAnsi="宋体"/>
              </w:rPr>
              <w:t>4</w:t>
            </w:r>
            <w:r>
              <w:rPr>
                <w:rFonts w:ascii="宋体" w:hAnsi="宋体"/>
              </w:rPr>
              <w:t>分。</w:t>
            </w:r>
          </w:p>
          <w:p>
            <w:pPr>
              <w:snapToGrid w:val="0"/>
              <w:rPr>
                <w:rFonts w:ascii="宋体" w:hAnsi="宋体"/>
              </w:rPr>
            </w:pPr>
            <w:r>
              <w:rPr>
                <w:rFonts w:ascii="宋体" w:hAnsi="宋体"/>
                <w:b/>
                <w:bCs/>
              </w:rPr>
              <w:t>岗位经历</w:t>
            </w:r>
            <w:r>
              <w:rPr>
                <w:rFonts w:hint="eastAsia" w:ascii="宋体" w:hAnsi="宋体"/>
                <w:b/>
                <w:bCs/>
              </w:rPr>
              <w:t>10</w:t>
            </w:r>
            <w:r>
              <w:rPr>
                <w:rFonts w:ascii="宋体" w:hAnsi="宋体"/>
                <w:b/>
                <w:bCs/>
              </w:rPr>
              <w:t>分：</w:t>
            </w:r>
            <w:r>
              <w:rPr>
                <w:rFonts w:ascii="宋体" w:hAnsi="宋体"/>
              </w:rPr>
              <w:t>担任过</w:t>
            </w:r>
            <w:r>
              <w:rPr>
                <w:rFonts w:hint="eastAsia" w:ascii="宋体" w:hAnsi="宋体"/>
              </w:rPr>
              <w:t>2</w:t>
            </w:r>
            <w:r>
              <w:rPr>
                <w:rFonts w:ascii="宋体" w:hAnsi="宋体"/>
              </w:rPr>
              <w:t>个或以上高速公路路</w:t>
            </w:r>
            <w:r>
              <w:rPr>
                <w:rFonts w:hint="eastAsia" w:ascii="宋体" w:hAnsi="宋体"/>
              </w:rPr>
              <w:t>土建</w:t>
            </w:r>
            <w:r>
              <w:rPr>
                <w:rFonts w:ascii="宋体" w:hAnsi="宋体"/>
              </w:rPr>
              <w:t>工程</w:t>
            </w:r>
            <w:r>
              <w:rPr>
                <w:rFonts w:hint="eastAsia" w:ascii="宋体" w:hAnsi="宋体"/>
              </w:rPr>
              <w:t>（至少包含1个路基桥梁隧道工程和1个路面工程）的</w:t>
            </w:r>
            <w:r>
              <w:rPr>
                <w:rFonts w:ascii="宋体" w:hAnsi="宋体"/>
              </w:rPr>
              <w:t>总监办总监理工程师或驻地办驻地监理工程师得</w:t>
            </w:r>
            <w:r>
              <w:rPr>
                <w:rFonts w:hint="eastAsia" w:ascii="宋体" w:hAnsi="宋体"/>
              </w:rPr>
              <w:t>6</w:t>
            </w:r>
            <w:r>
              <w:rPr>
                <w:rFonts w:ascii="宋体" w:hAnsi="宋体"/>
              </w:rPr>
              <w:t>分，每增加</w:t>
            </w:r>
            <w:r>
              <w:rPr>
                <w:rFonts w:hint="eastAsia" w:ascii="宋体" w:hAnsi="宋体"/>
              </w:rPr>
              <w:t>1</w:t>
            </w:r>
            <w:r>
              <w:rPr>
                <w:rFonts w:ascii="宋体" w:hAnsi="宋体"/>
              </w:rPr>
              <w:t>个高速公路土建工程的总监办总监理工程师加</w:t>
            </w:r>
            <w:r>
              <w:rPr>
                <w:rFonts w:hint="eastAsia" w:ascii="宋体" w:hAnsi="宋体"/>
              </w:rPr>
              <w:t>1</w:t>
            </w:r>
            <w:r>
              <w:rPr>
                <w:rFonts w:ascii="宋体" w:hAnsi="宋体"/>
              </w:rPr>
              <w:t>分，最高加</w:t>
            </w:r>
            <w:r>
              <w:rPr>
                <w:rFonts w:hint="eastAsia" w:ascii="宋体" w:hAnsi="宋体"/>
              </w:rPr>
              <w:t>4</w:t>
            </w:r>
            <w:r>
              <w:rPr>
                <w:rFonts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5" w:hRule="atLeast"/>
        </w:trPr>
        <w:tc>
          <w:tcPr>
            <w:tcW w:w="385" w:type="dxa"/>
            <w:vMerge w:val="continue"/>
            <w:vAlign w:val="center"/>
          </w:tcPr>
          <w:p>
            <w:pPr>
              <w:snapToGrid w:val="0"/>
              <w:ind w:firstLine="420"/>
              <w:jc w:val="center"/>
              <w:rPr>
                <w:rFonts w:ascii="宋体" w:hAnsi="宋体"/>
              </w:rPr>
            </w:pPr>
          </w:p>
        </w:tc>
        <w:tc>
          <w:tcPr>
            <w:tcW w:w="850" w:type="dxa"/>
            <w:vMerge w:val="continue"/>
            <w:vAlign w:val="center"/>
          </w:tcPr>
          <w:p>
            <w:pPr>
              <w:snapToGrid w:val="0"/>
              <w:jc w:val="center"/>
              <w:rPr>
                <w:rFonts w:ascii="宋体" w:hAnsi="宋体"/>
              </w:rPr>
            </w:pPr>
          </w:p>
        </w:tc>
        <w:tc>
          <w:tcPr>
            <w:tcW w:w="851" w:type="dxa"/>
            <w:vAlign w:val="center"/>
          </w:tcPr>
          <w:p>
            <w:pPr>
              <w:snapToGrid w:val="0"/>
              <w:jc w:val="center"/>
              <w:rPr>
                <w:rFonts w:ascii="宋体" w:hAnsi="宋体"/>
              </w:rPr>
            </w:pPr>
            <w:r>
              <w:rPr>
                <w:rFonts w:ascii="宋体" w:hAnsi="宋体"/>
              </w:rPr>
              <w:t>副总监理工程师</w:t>
            </w:r>
          </w:p>
        </w:tc>
        <w:tc>
          <w:tcPr>
            <w:tcW w:w="567" w:type="dxa"/>
            <w:vAlign w:val="center"/>
          </w:tcPr>
          <w:p>
            <w:pPr>
              <w:snapToGrid w:val="0"/>
              <w:jc w:val="center"/>
              <w:rPr>
                <w:rFonts w:hint="eastAsia" w:ascii="宋体" w:hAnsi="宋体"/>
              </w:rPr>
            </w:pPr>
            <w:r>
              <w:rPr>
                <w:rFonts w:hint="eastAsia" w:ascii="宋体" w:hAnsi="宋体"/>
              </w:rPr>
              <w:t>13</w:t>
            </w:r>
          </w:p>
        </w:tc>
        <w:tc>
          <w:tcPr>
            <w:tcW w:w="6704" w:type="dxa"/>
            <w:vAlign w:val="top"/>
          </w:tcPr>
          <w:p>
            <w:pPr>
              <w:snapToGrid w:val="0"/>
              <w:rPr>
                <w:rFonts w:ascii="宋体" w:hAnsi="宋体"/>
              </w:rPr>
            </w:pPr>
            <w:r>
              <w:rPr>
                <w:rFonts w:ascii="宋体" w:hAnsi="宋体"/>
                <w:b/>
                <w:bCs/>
              </w:rPr>
              <w:t>职称2分：</w:t>
            </w:r>
            <w:r>
              <w:rPr>
                <w:rFonts w:ascii="宋体" w:hAnsi="宋体"/>
              </w:rPr>
              <w:t>高级或以上职称得2分，中级职称得1.2分。</w:t>
            </w:r>
          </w:p>
          <w:p>
            <w:pPr>
              <w:snapToGrid w:val="0"/>
              <w:rPr>
                <w:rFonts w:ascii="宋体" w:hAnsi="宋体"/>
              </w:rPr>
            </w:pPr>
            <w:r>
              <w:rPr>
                <w:rFonts w:ascii="宋体" w:hAnsi="宋体"/>
                <w:b/>
                <w:bCs/>
              </w:rPr>
              <w:t>工作经验3分：</w:t>
            </w:r>
            <w:r>
              <w:rPr>
                <w:rFonts w:ascii="宋体" w:hAnsi="宋体"/>
              </w:rPr>
              <w:t>具有5年公路工程监理工作经验得1.8分，每增加一年加0.</w:t>
            </w:r>
            <w:r>
              <w:rPr>
                <w:rFonts w:hint="eastAsia" w:ascii="宋体" w:hAnsi="宋体"/>
              </w:rPr>
              <w:t>1</w:t>
            </w:r>
            <w:r>
              <w:rPr>
                <w:rFonts w:ascii="宋体" w:hAnsi="宋体"/>
              </w:rPr>
              <w:t>分，最高加1.2分。</w:t>
            </w:r>
          </w:p>
          <w:p>
            <w:pPr>
              <w:snapToGrid w:val="0"/>
              <w:rPr>
                <w:rFonts w:ascii="宋体" w:hAnsi="宋体"/>
              </w:rPr>
            </w:pPr>
            <w:r>
              <w:rPr>
                <w:rFonts w:ascii="宋体" w:hAnsi="宋体"/>
                <w:b/>
                <w:bCs/>
              </w:rPr>
              <w:t>岗位经历</w:t>
            </w:r>
            <w:r>
              <w:rPr>
                <w:rFonts w:hint="eastAsia" w:ascii="宋体" w:hAnsi="宋体"/>
                <w:b/>
                <w:bCs/>
              </w:rPr>
              <w:t>8</w:t>
            </w:r>
            <w:r>
              <w:rPr>
                <w:rFonts w:ascii="宋体" w:hAnsi="宋体"/>
                <w:b/>
                <w:bCs/>
              </w:rPr>
              <w:t>分：</w:t>
            </w:r>
            <w:r>
              <w:rPr>
                <w:rFonts w:ascii="宋体" w:hAnsi="宋体"/>
              </w:rPr>
              <w:t>担任过1个高速公路项目</w:t>
            </w:r>
            <w:r>
              <w:rPr>
                <w:rFonts w:hint="eastAsia" w:ascii="宋体" w:hAnsi="宋体"/>
              </w:rPr>
              <w:t>土建</w:t>
            </w:r>
            <w:r>
              <w:rPr>
                <w:rFonts w:ascii="宋体" w:hAnsi="宋体"/>
              </w:rPr>
              <w:t>工程总监办副总监理工程师（驻地办副驻地监理工程师）或以上职务得</w:t>
            </w:r>
            <w:r>
              <w:rPr>
                <w:rFonts w:hint="eastAsia" w:ascii="宋体" w:hAnsi="宋体"/>
              </w:rPr>
              <w:t>4.8</w:t>
            </w:r>
            <w:r>
              <w:rPr>
                <w:rFonts w:ascii="宋体" w:hAnsi="宋体"/>
              </w:rPr>
              <w:t>分，每增加</w:t>
            </w:r>
            <w:r>
              <w:rPr>
                <w:rFonts w:hint="eastAsia" w:ascii="宋体" w:hAnsi="宋体"/>
              </w:rPr>
              <w:t>1</w:t>
            </w:r>
            <w:r>
              <w:rPr>
                <w:rFonts w:ascii="宋体" w:hAnsi="宋体"/>
              </w:rPr>
              <w:t>个高速公路土建工程的总监办副总监理工程师或以上职务加</w:t>
            </w:r>
            <w:r>
              <w:rPr>
                <w:rFonts w:hint="eastAsia" w:ascii="宋体" w:hAnsi="宋体"/>
              </w:rPr>
              <w:t>0.8</w:t>
            </w:r>
            <w:r>
              <w:rPr>
                <w:rFonts w:ascii="宋体" w:hAnsi="宋体"/>
              </w:rPr>
              <w:t>分，最高加</w:t>
            </w:r>
            <w:r>
              <w:rPr>
                <w:rFonts w:hint="eastAsia" w:ascii="宋体" w:hAnsi="宋体"/>
              </w:rPr>
              <w:t>3.2</w:t>
            </w:r>
            <w:r>
              <w:rPr>
                <w:rFonts w:ascii="宋体" w:hAnsi="宋体"/>
              </w:rPr>
              <w:t>分。</w:t>
            </w:r>
          </w:p>
          <w:p>
            <w:pPr>
              <w:snapToGrid w:val="0"/>
              <w:rPr>
                <w:rFonts w:ascii="宋体" w:hAnsi="宋体"/>
                <w:b/>
                <w:bCs/>
              </w:rPr>
            </w:pPr>
            <w:r>
              <w:rPr>
                <w:rFonts w:hint="eastAsia" w:ascii="宋体" w:hAnsi="宋体"/>
              </w:rPr>
              <w:t>备注：2个人员评分取平均分值。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5" w:hRule="atLeast"/>
        </w:trPr>
        <w:tc>
          <w:tcPr>
            <w:tcW w:w="385" w:type="dxa"/>
            <w:vMerge w:val="continue"/>
            <w:vAlign w:val="center"/>
          </w:tcPr>
          <w:p>
            <w:pPr>
              <w:snapToGrid w:val="0"/>
              <w:ind w:firstLine="420"/>
              <w:jc w:val="center"/>
              <w:rPr>
                <w:rFonts w:ascii="宋体" w:hAnsi="宋体"/>
              </w:rPr>
            </w:pPr>
          </w:p>
        </w:tc>
        <w:tc>
          <w:tcPr>
            <w:tcW w:w="850" w:type="dxa"/>
            <w:vMerge w:val="restart"/>
            <w:vAlign w:val="center"/>
          </w:tcPr>
          <w:p>
            <w:pPr>
              <w:snapToGrid w:val="0"/>
              <w:jc w:val="center"/>
              <w:rPr>
                <w:rFonts w:ascii="宋体" w:hAnsi="宋体"/>
              </w:rPr>
            </w:pPr>
            <w:r>
              <w:rPr>
                <w:rFonts w:hint="eastAsia" w:ascii="宋体" w:hAnsi="宋体"/>
              </w:rPr>
              <w:t>NSZJB-1、2</w:t>
            </w:r>
            <w:r>
              <w:rPr>
                <w:rFonts w:ascii="宋体" w:hAnsi="宋体"/>
              </w:rPr>
              <w:t xml:space="preserve">        </w:t>
            </w:r>
            <w:r>
              <w:rPr>
                <w:rFonts w:hint="eastAsia" w:ascii="宋体" w:hAnsi="宋体"/>
              </w:rPr>
              <w:t>（宁石总监</w:t>
            </w:r>
            <w:r>
              <w:rPr>
                <w:rFonts w:ascii="宋体" w:hAnsi="宋体"/>
              </w:rPr>
              <w:t>办</w:t>
            </w:r>
            <w:r>
              <w:rPr>
                <w:rFonts w:hint="eastAsia" w:ascii="宋体" w:hAnsi="宋体"/>
              </w:rPr>
              <w:t>1、2）</w:t>
            </w:r>
          </w:p>
        </w:tc>
        <w:tc>
          <w:tcPr>
            <w:tcW w:w="851" w:type="dxa"/>
            <w:vAlign w:val="center"/>
          </w:tcPr>
          <w:p>
            <w:pPr>
              <w:snapToGrid w:val="0"/>
              <w:jc w:val="center"/>
              <w:rPr>
                <w:rFonts w:ascii="宋体" w:hAnsi="宋体"/>
              </w:rPr>
            </w:pPr>
            <w:r>
              <w:rPr>
                <w:rFonts w:ascii="宋体" w:hAnsi="宋体"/>
              </w:rPr>
              <w:t>总监理工程师</w:t>
            </w:r>
          </w:p>
        </w:tc>
        <w:tc>
          <w:tcPr>
            <w:tcW w:w="567" w:type="dxa"/>
            <w:vAlign w:val="center"/>
          </w:tcPr>
          <w:p>
            <w:pPr>
              <w:snapToGrid w:val="0"/>
              <w:jc w:val="center"/>
              <w:rPr>
                <w:rFonts w:ascii="宋体" w:hAnsi="宋体"/>
              </w:rPr>
            </w:pPr>
            <w:r>
              <w:rPr>
                <w:rFonts w:ascii="宋体" w:hAnsi="宋体"/>
              </w:rPr>
              <w:t>20</w:t>
            </w:r>
          </w:p>
        </w:tc>
        <w:tc>
          <w:tcPr>
            <w:tcW w:w="6704" w:type="dxa"/>
            <w:vAlign w:val="center"/>
          </w:tcPr>
          <w:p>
            <w:pPr>
              <w:snapToGrid w:val="0"/>
              <w:rPr>
                <w:rFonts w:ascii="宋体" w:hAnsi="宋体"/>
              </w:rPr>
            </w:pPr>
            <w:r>
              <w:rPr>
                <w:rFonts w:ascii="宋体" w:hAnsi="宋体"/>
                <w:b/>
                <w:bCs/>
              </w:rPr>
              <w:t>工作经验</w:t>
            </w:r>
            <w:r>
              <w:rPr>
                <w:rFonts w:hint="eastAsia" w:ascii="宋体" w:hAnsi="宋体"/>
                <w:b/>
                <w:bCs/>
              </w:rPr>
              <w:t>10</w:t>
            </w:r>
            <w:r>
              <w:rPr>
                <w:rFonts w:ascii="宋体" w:hAnsi="宋体"/>
                <w:b/>
                <w:bCs/>
              </w:rPr>
              <w:t>分：</w:t>
            </w:r>
            <w:r>
              <w:rPr>
                <w:rFonts w:ascii="宋体" w:hAnsi="宋体"/>
              </w:rPr>
              <w:t>具有5年公路工程监理工作经验得</w:t>
            </w:r>
            <w:r>
              <w:rPr>
                <w:rFonts w:hint="eastAsia" w:ascii="宋体" w:hAnsi="宋体"/>
              </w:rPr>
              <w:t>6</w:t>
            </w:r>
            <w:r>
              <w:rPr>
                <w:rFonts w:ascii="宋体" w:hAnsi="宋体"/>
              </w:rPr>
              <w:t>分，每增加一年加0.4分，最高加</w:t>
            </w:r>
            <w:r>
              <w:rPr>
                <w:rFonts w:hint="eastAsia" w:ascii="宋体" w:hAnsi="宋体"/>
              </w:rPr>
              <w:t>4</w:t>
            </w:r>
            <w:r>
              <w:rPr>
                <w:rFonts w:ascii="宋体" w:hAnsi="宋体"/>
              </w:rPr>
              <w:t>分。</w:t>
            </w:r>
          </w:p>
          <w:p>
            <w:pPr>
              <w:snapToGrid w:val="0"/>
              <w:rPr>
                <w:rFonts w:ascii="宋体" w:hAnsi="宋体"/>
              </w:rPr>
            </w:pPr>
            <w:r>
              <w:rPr>
                <w:rFonts w:ascii="宋体" w:hAnsi="宋体"/>
                <w:b/>
                <w:bCs/>
              </w:rPr>
              <w:t>岗位经历</w:t>
            </w:r>
            <w:r>
              <w:rPr>
                <w:rFonts w:hint="eastAsia" w:ascii="宋体" w:hAnsi="宋体"/>
                <w:b/>
                <w:bCs/>
              </w:rPr>
              <w:t>10</w:t>
            </w:r>
            <w:r>
              <w:rPr>
                <w:rFonts w:ascii="宋体" w:hAnsi="宋体"/>
                <w:b/>
                <w:bCs/>
              </w:rPr>
              <w:t>分：</w:t>
            </w:r>
            <w:r>
              <w:rPr>
                <w:rFonts w:ascii="宋体" w:hAnsi="宋体"/>
              </w:rPr>
              <w:t>担任过2个高速公路土建工程总监办总监理工程师或驻地办驻地监理工程师得</w:t>
            </w:r>
            <w:r>
              <w:rPr>
                <w:rFonts w:hint="eastAsia" w:ascii="宋体" w:hAnsi="宋体"/>
              </w:rPr>
              <w:t>6</w:t>
            </w:r>
            <w:r>
              <w:rPr>
                <w:rFonts w:ascii="宋体" w:hAnsi="宋体"/>
              </w:rPr>
              <w:t>分，每增加一个加</w:t>
            </w:r>
            <w:r>
              <w:rPr>
                <w:rFonts w:hint="eastAsia" w:ascii="宋体" w:hAnsi="宋体"/>
              </w:rPr>
              <w:t>1</w:t>
            </w:r>
            <w:r>
              <w:rPr>
                <w:rFonts w:ascii="宋体" w:hAnsi="宋体"/>
              </w:rPr>
              <w:t>分，最高加</w:t>
            </w:r>
            <w:r>
              <w:rPr>
                <w:rFonts w:hint="eastAsia" w:ascii="宋体" w:hAnsi="宋体"/>
              </w:rPr>
              <w:t>4</w:t>
            </w:r>
            <w:r>
              <w:rPr>
                <w:rFonts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5" w:hRule="atLeast"/>
        </w:trPr>
        <w:tc>
          <w:tcPr>
            <w:tcW w:w="385" w:type="dxa"/>
            <w:vMerge w:val="continue"/>
            <w:vAlign w:val="center"/>
          </w:tcPr>
          <w:p>
            <w:pPr>
              <w:snapToGrid w:val="0"/>
              <w:ind w:firstLine="420"/>
              <w:jc w:val="center"/>
              <w:rPr>
                <w:rFonts w:ascii="宋体" w:hAnsi="宋体"/>
              </w:rPr>
            </w:pPr>
          </w:p>
        </w:tc>
        <w:tc>
          <w:tcPr>
            <w:tcW w:w="850" w:type="dxa"/>
            <w:vMerge w:val="continue"/>
            <w:vAlign w:val="center"/>
          </w:tcPr>
          <w:p>
            <w:pPr>
              <w:snapToGrid w:val="0"/>
              <w:jc w:val="center"/>
              <w:rPr>
                <w:rFonts w:ascii="宋体" w:hAnsi="宋体"/>
              </w:rPr>
            </w:pPr>
          </w:p>
        </w:tc>
        <w:tc>
          <w:tcPr>
            <w:tcW w:w="851" w:type="dxa"/>
            <w:vAlign w:val="center"/>
          </w:tcPr>
          <w:p>
            <w:pPr>
              <w:snapToGrid w:val="0"/>
              <w:jc w:val="center"/>
              <w:rPr>
                <w:rFonts w:ascii="宋体" w:hAnsi="宋体"/>
              </w:rPr>
            </w:pPr>
            <w:r>
              <w:rPr>
                <w:rFonts w:ascii="宋体" w:hAnsi="宋体"/>
              </w:rPr>
              <w:t>副总监理工程师</w:t>
            </w:r>
          </w:p>
        </w:tc>
        <w:tc>
          <w:tcPr>
            <w:tcW w:w="567" w:type="dxa"/>
            <w:vAlign w:val="center"/>
          </w:tcPr>
          <w:p>
            <w:pPr>
              <w:snapToGrid w:val="0"/>
              <w:jc w:val="center"/>
              <w:rPr>
                <w:rFonts w:hint="eastAsia" w:ascii="宋体" w:hAnsi="宋体"/>
              </w:rPr>
            </w:pPr>
            <w:r>
              <w:rPr>
                <w:rFonts w:hint="eastAsia" w:ascii="宋体" w:hAnsi="宋体"/>
              </w:rPr>
              <w:t>13</w:t>
            </w:r>
          </w:p>
        </w:tc>
        <w:tc>
          <w:tcPr>
            <w:tcW w:w="6704" w:type="dxa"/>
            <w:vAlign w:val="top"/>
          </w:tcPr>
          <w:p>
            <w:pPr>
              <w:snapToGrid w:val="0"/>
              <w:rPr>
                <w:rFonts w:ascii="宋体" w:hAnsi="宋体"/>
              </w:rPr>
            </w:pPr>
            <w:r>
              <w:rPr>
                <w:rFonts w:ascii="宋体" w:hAnsi="宋体"/>
                <w:b/>
                <w:bCs/>
              </w:rPr>
              <w:t>职称2分：</w:t>
            </w:r>
            <w:r>
              <w:rPr>
                <w:rFonts w:ascii="宋体" w:hAnsi="宋体"/>
              </w:rPr>
              <w:t>高级或以上职称得2分，中级职称得1.2分。</w:t>
            </w:r>
          </w:p>
          <w:p>
            <w:pPr>
              <w:snapToGrid w:val="0"/>
              <w:rPr>
                <w:rFonts w:ascii="宋体" w:hAnsi="宋体"/>
              </w:rPr>
            </w:pPr>
            <w:r>
              <w:rPr>
                <w:rFonts w:ascii="宋体" w:hAnsi="宋体"/>
                <w:b/>
                <w:bCs/>
              </w:rPr>
              <w:t>工作经验3分：</w:t>
            </w:r>
            <w:r>
              <w:rPr>
                <w:rFonts w:ascii="宋体" w:hAnsi="宋体"/>
              </w:rPr>
              <w:t>具有5年公路工程监理工作经验得1.8分，每增加一年加0.</w:t>
            </w:r>
            <w:r>
              <w:rPr>
                <w:rFonts w:hint="eastAsia" w:ascii="宋体" w:hAnsi="宋体"/>
              </w:rPr>
              <w:t>1</w:t>
            </w:r>
            <w:r>
              <w:rPr>
                <w:rFonts w:ascii="宋体" w:hAnsi="宋体"/>
              </w:rPr>
              <w:t>分，最高加1.2分。</w:t>
            </w:r>
          </w:p>
          <w:p>
            <w:pPr>
              <w:snapToGrid w:val="0"/>
              <w:rPr>
                <w:rFonts w:ascii="宋体" w:hAnsi="宋体"/>
              </w:rPr>
            </w:pPr>
            <w:r>
              <w:rPr>
                <w:rFonts w:ascii="宋体" w:hAnsi="宋体"/>
                <w:b/>
                <w:bCs/>
              </w:rPr>
              <w:t>岗位经历</w:t>
            </w:r>
            <w:r>
              <w:rPr>
                <w:rFonts w:hint="eastAsia" w:ascii="宋体" w:hAnsi="宋体"/>
                <w:b/>
                <w:bCs/>
              </w:rPr>
              <w:t>8</w:t>
            </w:r>
            <w:r>
              <w:rPr>
                <w:rFonts w:ascii="宋体" w:hAnsi="宋体"/>
                <w:b/>
                <w:bCs/>
              </w:rPr>
              <w:t>分：</w:t>
            </w:r>
            <w:r>
              <w:rPr>
                <w:rFonts w:ascii="宋体" w:hAnsi="宋体"/>
              </w:rPr>
              <w:t>担任过1个高速公路土建工程总监办副总监理工程师（驻地办副驻地监理工程师）或以上职务得</w:t>
            </w:r>
            <w:r>
              <w:rPr>
                <w:rFonts w:hint="eastAsia" w:ascii="宋体" w:hAnsi="宋体"/>
              </w:rPr>
              <w:t>4.8</w:t>
            </w:r>
            <w:r>
              <w:rPr>
                <w:rFonts w:ascii="宋体" w:hAnsi="宋体"/>
              </w:rPr>
              <w:t>分，每增加一个加</w:t>
            </w:r>
            <w:r>
              <w:rPr>
                <w:rFonts w:hint="eastAsia" w:ascii="宋体" w:hAnsi="宋体"/>
              </w:rPr>
              <w:t>0.8</w:t>
            </w:r>
            <w:r>
              <w:rPr>
                <w:rFonts w:ascii="宋体" w:hAnsi="宋体"/>
              </w:rPr>
              <w:t>分，最高加</w:t>
            </w:r>
            <w:r>
              <w:rPr>
                <w:rFonts w:hint="eastAsia" w:ascii="宋体" w:hAnsi="宋体"/>
              </w:rPr>
              <w:t>3.2</w:t>
            </w:r>
            <w:r>
              <w:rPr>
                <w:rFonts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5" w:hRule="atLeast"/>
        </w:trPr>
        <w:tc>
          <w:tcPr>
            <w:tcW w:w="385" w:type="dxa"/>
            <w:vMerge w:val="restart"/>
            <w:vAlign w:val="center"/>
          </w:tcPr>
          <w:p>
            <w:pPr>
              <w:snapToGrid w:val="0"/>
              <w:jc w:val="center"/>
              <w:rPr>
                <w:rFonts w:ascii="宋体" w:hAnsi="宋体"/>
              </w:rPr>
            </w:pPr>
            <w:r>
              <w:rPr>
                <w:rFonts w:hint="eastAsia" w:ascii="宋体" w:hAnsi="宋体"/>
              </w:rPr>
              <w:t>主</w:t>
            </w:r>
            <w:r>
              <w:rPr>
                <w:rFonts w:ascii="宋体" w:hAnsi="宋体"/>
              </w:rPr>
              <w:t>要监理人员</w:t>
            </w:r>
          </w:p>
        </w:tc>
        <w:tc>
          <w:tcPr>
            <w:tcW w:w="850" w:type="dxa"/>
            <w:vMerge w:val="restart"/>
            <w:vAlign w:val="center"/>
          </w:tcPr>
          <w:p>
            <w:pPr>
              <w:jc w:val="center"/>
              <w:rPr>
                <w:rFonts w:ascii="宋体" w:hAnsi="宋体"/>
              </w:rPr>
            </w:pPr>
            <w:r>
              <w:rPr>
                <w:rFonts w:hint="eastAsia" w:ascii="宋体" w:hAnsi="宋体"/>
              </w:rPr>
              <w:t>YH</w:t>
            </w:r>
            <w:r>
              <w:rPr>
                <w:rFonts w:ascii="宋体" w:hAnsi="宋体"/>
              </w:rPr>
              <w:t>ZSY</w:t>
            </w:r>
            <w:r>
              <w:rPr>
                <w:rFonts w:hint="eastAsia" w:ascii="宋体" w:hAnsi="宋体"/>
              </w:rPr>
              <w:t>、NS</w:t>
            </w:r>
            <w:r>
              <w:rPr>
                <w:rFonts w:ascii="宋体" w:hAnsi="宋体"/>
              </w:rPr>
              <w:t>ZSY</w:t>
            </w:r>
          </w:p>
          <w:p>
            <w:pPr>
              <w:snapToGrid w:val="0"/>
              <w:jc w:val="center"/>
              <w:rPr>
                <w:rFonts w:ascii="宋体" w:hAnsi="宋体"/>
              </w:rPr>
            </w:pPr>
            <w:r>
              <w:rPr>
                <w:rFonts w:hint="eastAsia" w:ascii="宋体" w:hAnsi="宋体"/>
              </w:rPr>
              <w:t>(延黄</w:t>
            </w:r>
            <w:r>
              <w:rPr>
                <w:rFonts w:ascii="宋体" w:hAnsi="宋体"/>
              </w:rPr>
              <w:t>中心试验室</w:t>
            </w:r>
            <w:r>
              <w:rPr>
                <w:rFonts w:hint="eastAsia" w:ascii="宋体" w:hAnsi="宋体"/>
              </w:rPr>
              <w:t>、宁石</w:t>
            </w:r>
            <w:r>
              <w:rPr>
                <w:rFonts w:ascii="宋体" w:hAnsi="宋体"/>
              </w:rPr>
              <w:t>中心试验室</w:t>
            </w:r>
            <w:r>
              <w:rPr>
                <w:rFonts w:hint="eastAsia" w:ascii="宋体" w:hAnsi="宋体"/>
              </w:rPr>
              <w:t>)</w:t>
            </w:r>
          </w:p>
        </w:tc>
        <w:tc>
          <w:tcPr>
            <w:tcW w:w="851" w:type="dxa"/>
            <w:vAlign w:val="center"/>
          </w:tcPr>
          <w:p>
            <w:pPr>
              <w:snapToGrid w:val="0"/>
              <w:jc w:val="center"/>
              <w:rPr>
                <w:rFonts w:ascii="宋体" w:hAnsi="宋体"/>
              </w:rPr>
            </w:pPr>
            <w:r>
              <w:rPr>
                <w:rFonts w:ascii="宋体" w:hAnsi="宋体"/>
              </w:rPr>
              <w:t>中心试验室主任</w:t>
            </w:r>
          </w:p>
        </w:tc>
        <w:tc>
          <w:tcPr>
            <w:tcW w:w="567" w:type="dxa"/>
            <w:vAlign w:val="center"/>
          </w:tcPr>
          <w:p>
            <w:pPr>
              <w:snapToGrid w:val="0"/>
              <w:jc w:val="center"/>
              <w:rPr>
                <w:rFonts w:ascii="宋体" w:hAnsi="宋体"/>
              </w:rPr>
            </w:pPr>
            <w:r>
              <w:rPr>
                <w:rFonts w:ascii="宋体" w:hAnsi="宋体"/>
              </w:rPr>
              <w:t>20</w:t>
            </w:r>
          </w:p>
        </w:tc>
        <w:tc>
          <w:tcPr>
            <w:tcW w:w="6704" w:type="dxa"/>
            <w:vAlign w:val="center"/>
          </w:tcPr>
          <w:p>
            <w:pPr>
              <w:snapToGrid w:val="0"/>
              <w:rPr>
                <w:rFonts w:ascii="宋体" w:hAnsi="宋体"/>
              </w:rPr>
            </w:pPr>
            <w:r>
              <w:rPr>
                <w:rFonts w:ascii="宋体" w:hAnsi="宋体"/>
                <w:b/>
                <w:bCs/>
              </w:rPr>
              <w:t>工作经验</w:t>
            </w:r>
            <w:r>
              <w:rPr>
                <w:rFonts w:hint="eastAsia" w:ascii="宋体" w:hAnsi="宋体"/>
                <w:b/>
                <w:bCs/>
              </w:rPr>
              <w:t>10</w:t>
            </w:r>
            <w:r>
              <w:rPr>
                <w:rFonts w:ascii="宋体" w:hAnsi="宋体"/>
                <w:b/>
                <w:bCs/>
              </w:rPr>
              <w:t>分：</w:t>
            </w:r>
            <w:r>
              <w:rPr>
                <w:rFonts w:ascii="宋体" w:hAnsi="宋体"/>
              </w:rPr>
              <w:t>具有5年公路工程试验检测工作经验得</w:t>
            </w:r>
            <w:r>
              <w:rPr>
                <w:rFonts w:hint="eastAsia" w:ascii="宋体" w:hAnsi="宋体"/>
              </w:rPr>
              <w:t>6</w:t>
            </w:r>
            <w:r>
              <w:rPr>
                <w:rFonts w:ascii="宋体" w:hAnsi="宋体"/>
              </w:rPr>
              <w:t>分，每增加一年加0.4分，最高加</w:t>
            </w:r>
            <w:r>
              <w:rPr>
                <w:rFonts w:hint="eastAsia" w:ascii="宋体" w:hAnsi="宋体"/>
              </w:rPr>
              <w:t>4</w:t>
            </w:r>
            <w:r>
              <w:rPr>
                <w:rFonts w:ascii="宋体" w:hAnsi="宋体"/>
              </w:rPr>
              <w:t>分。</w:t>
            </w:r>
          </w:p>
          <w:p>
            <w:pPr>
              <w:snapToGrid w:val="0"/>
              <w:rPr>
                <w:rFonts w:ascii="宋体" w:hAnsi="宋体"/>
              </w:rPr>
            </w:pPr>
            <w:r>
              <w:rPr>
                <w:rFonts w:ascii="宋体" w:hAnsi="宋体"/>
                <w:b/>
                <w:bCs/>
              </w:rPr>
              <w:t>岗位经历</w:t>
            </w:r>
            <w:r>
              <w:rPr>
                <w:rFonts w:hint="eastAsia" w:ascii="宋体" w:hAnsi="宋体"/>
                <w:b/>
                <w:bCs/>
              </w:rPr>
              <w:t>10</w:t>
            </w:r>
            <w:r>
              <w:rPr>
                <w:rFonts w:ascii="宋体" w:hAnsi="宋体"/>
                <w:b/>
                <w:bCs/>
              </w:rPr>
              <w:t>分：</w:t>
            </w:r>
            <w:r>
              <w:rPr>
                <w:rFonts w:ascii="宋体" w:hAnsi="宋体"/>
              </w:rPr>
              <w:t>担任过2个高速公路项目的中心试验室主任得</w:t>
            </w:r>
            <w:r>
              <w:rPr>
                <w:rFonts w:hint="eastAsia" w:ascii="宋体" w:hAnsi="宋体"/>
              </w:rPr>
              <w:t>6</w:t>
            </w:r>
            <w:r>
              <w:rPr>
                <w:rFonts w:ascii="宋体" w:hAnsi="宋体"/>
              </w:rPr>
              <w:t>分，每增加一个加</w:t>
            </w:r>
            <w:r>
              <w:rPr>
                <w:rFonts w:hint="eastAsia" w:ascii="宋体" w:hAnsi="宋体"/>
              </w:rPr>
              <w:t>1</w:t>
            </w:r>
            <w:r>
              <w:rPr>
                <w:rFonts w:ascii="宋体" w:hAnsi="宋体"/>
              </w:rPr>
              <w:t>分，最高加</w:t>
            </w:r>
            <w:r>
              <w:rPr>
                <w:rFonts w:hint="eastAsia" w:ascii="宋体" w:hAnsi="宋体"/>
              </w:rPr>
              <w:t>4</w:t>
            </w:r>
            <w:r>
              <w:rPr>
                <w:rFonts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8" w:hRule="atLeast"/>
        </w:trPr>
        <w:tc>
          <w:tcPr>
            <w:tcW w:w="385" w:type="dxa"/>
            <w:vMerge w:val="continue"/>
            <w:vAlign w:val="bottom"/>
          </w:tcPr>
          <w:p>
            <w:pPr>
              <w:snapToGrid w:val="0"/>
              <w:jc w:val="center"/>
              <w:rPr>
                <w:rFonts w:ascii="宋体" w:hAnsi="宋体"/>
              </w:rPr>
            </w:pPr>
          </w:p>
        </w:tc>
        <w:tc>
          <w:tcPr>
            <w:tcW w:w="850" w:type="dxa"/>
            <w:vMerge w:val="continue"/>
            <w:vAlign w:val="center"/>
          </w:tcPr>
          <w:p>
            <w:pPr>
              <w:snapToGrid w:val="0"/>
              <w:jc w:val="center"/>
              <w:rPr>
                <w:rFonts w:ascii="宋体" w:hAnsi="宋体"/>
              </w:rPr>
            </w:pPr>
          </w:p>
        </w:tc>
        <w:tc>
          <w:tcPr>
            <w:tcW w:w="851" w:type="dxa"/>
            <w:vAlign w:val="center"/>
          </w:tcPr>
          <w:p>
            <w:pPr>
              <w:snapToGrid w:val="0"/>
              <w:rPr>
                <w:rFonts w:ascii="宋体" w:hAnsi="宋体"/>
              </w:rPr>
            </w:pPr>
            <w:r>
              <w:rPr>
                <w:rFonts w:ascii="宋体" w:hAnsi="宋体"/>
              </w:rPr>
              <w:t>中心试验室副主任</w:t>
            </w:r>
          </w:p>
        </w:tc>
        <w:tc>
          <w:tcPr>
            <w:tcW w:w="567" w:type="dxa"/>
            <w:vAlign w:val="center"/>
          </w:tcPr>
          <w:p>
            <w:pPr>
              <w:snapToGrid w:val="0"/>
              <w:jc w:val="center"/>
              <w:rPr>
                <w:rFonts w:hint="eastAsia" w:ascii="宋体" w:hAnsi="宋体"/>
              </w:rPr>
            </w:pPr>
            <w:r>
              <w:rPr>
                <w:rFonts w:hint="eastAsia" w:ascii="宋体" w:hAnsi="宋体"/>
              </w:rPr>
              <w:t>13</w:t>
            </w:r>
          </w:p>
        </w:tc>
        <w:tc>
          <w:tcPr>
            <w:tcW w:w="6704" w:type="dxa"/>
            <w:vAlign w:val="top"/>
          </w:tcPr>
          <w:p>
            <w:pPr>
              <w:snapToGrid w:val="0"/>
              <w:rPr>
                <w:rFonts w:ascii="宋体" w:hAnsi="宋体"/>
              </w:rPr>
            </w:pPr>
            <w:r>
              <w:rPr>
                <w:rFonts w:ascii="宋体" w:hAnsi="宋体"/>
                <w:b/>
                <w:bCs/>
              </w:rPr>
              <w:t>职称2分：</w:t>
            </w:r>
            <w:r>
              <w:rPr>
                <w:rFonts w:ascii="宋体" w:hAnsi="宋体"/>
              </w:rPr>
              <w:t>高级或以上职称得2分，中级职称得1.2分。</w:t>
            </w:r>
          </w:p>
          <w:p>
            <w:pPr>
              <w:snapToGrid w:val="0"/>
              <w:rPr>
                <w:rFonts w:ascii="宋体" w:hAnsi="宋体"/>
              </w:rPr>
            </w:pPr>
            <w:r>
              <w:rPr>
                <w:rFonts w:ascii="宋体" w:hAnsi="宋体"/>
                <w:b/>
                <w:bCs/>
              </w:rPr>
              <w:t>工作经验3分：</w:t>
            </w:r>
            <w:r>
              <w:rPr>
                <w:rFonts w:ascii="宋体" w:hAnsi="宋体"/>
              </w:rPr>
              <w:t>具有5年公路工程试验检测工作经验得1.8分，每增加一年加0.</w:t>
            </w:r>
            <w:r>
              <w:rPr>
                <w:rFonts w:hint="eastAsia" w:ascii="宋体" w:hAnsi="宋体"/>
              </w:rPr>
              <w:t>1</w:t>
            </w:r>
            <w:r>
              <w:rPr>
                <w:rFonts w:ascii="宋体" w:hAnsi="宋体"/>
              </w:rPr>
              <w:t>分，最高加1.2分。</w:t>
            </w:r>
          </w:p>
          <w:p>
            <w:pPr>
              <w:snapToGrid w:val="0"/>
              <w:rPr>
                <w:rFonts w:ascii="宋体" w:hAnsi="宋体"/>
              </w:rPr>
            </w:pPr>
            <w:r>
              <w:rPr>
                <w:rFonts w:ascii="宋体" w:hAnsi="宋体"/>
                <w:b/>
                <w:bCs/>
              </w:rPr>
              <w:t>岗位经历</w:t>
            </w:r>
            <w:r>
              <w:rPr>
                <w:rFonts w:hint="eastAsia" w:ascii="宋体" w:hAnsi="宋体"/>
                <w:b/>
                <w:bCs/>
              </w:rPr>
              <w:t>8</w:t>
            </w:r>
            <w:r>
              <w:rPr>
                <w:rFonts w:ascii="宋体" w:hAnsi="宋体"/>
                <w:b/>
                <w:bCs/>
              </w:rPr>
              <w:t>分：</w:t>
            </w:r>
            <w:r>
              <w:rPr>
                <w:rFonts w:ascii="宋体" w:hAnsi="宋体"/>
              </w:rPr>
              <w:t>担任过1个高速公路项目的试验检测中心</w:t>
            </w:r>
            <w:r>
              <w:rPr>
                <w:rFonts w:hint="eastAsia" w:ascii="宋体" w:hAnsi="宋体"/>
              </w:rPr>
              <w:t>（</w:t>
            </w:r>
            <w:r>
              <w:rPr>
                <w:rFonts w:ascii="宋体" w:hAnsi="宋体"/>
              </w:rPr>
              <w:t>中心试验室</w:t>
            </w:r>
            <w:r>
              <w:rPr>
                <w:rFonts w:hint="eastAsia" w:ascii="宋体" w:hAnsi="宋体"/>
              </w:rPr>
              <w:t>）</w:t>
            </w:r>
            <w:r>
              <w:rPr>
                <w:rFonts w:ascii="宋体" w:hAnsi="宋体"/>
              </w:rPr>
              <w:t>副主任或以上职务得</w:t>
            </w:r>
            <w:r>
              <w:rPr>
                <w:rFonts w:hint="eastAsia" w:ascii="宋体" w:hAnsi="宋体"/>
              </w:rPr>
              <w:t>4.8</w:t>
            </w:r>
            <w:r>
              <w:rPr>
                <w:rFonts w:ascii="宋体" w:hAnsi="宋体"/>
              </w:rPr>
              <w:t>分，每增加一个加</w:t>
            </w:r>
            <w:r>
              <w:rPr>
                <w:rFonts w:hint="eastAsia" w:ascii="宋体" w:hAnsi="宋体"/>
              </w:rPr>
              <w:t>0.8</w:t>
            </w:r>
            <w:r>
              <w:rPr>
                <w:rFonts w:ascii="宋体" w:hAnsi="宋体"/>
              </w:rPr>
              <w:t>分，最高加</w:t>
            </w:r>
            <w:r>
              <w:rPr>
                <w:rFonts w:hint="eastAsia" w:ascii="宋体" w:hAnsi="宋体"/>
              </w:rPr>
              <w:t>3.2</w:t>
            </w:r>
            <w:r>
              <w:rPr>
                <w:rFonts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385" w:type="dxa"/>
            <w:vMerge w:val="restart"/>
            <w:vAlign w:val="center"/>
          </w:tcPr>
          <w:p>
            <w:pPr>
              <w:snapToGrid w:val="0"/>
              <w:jc w:val="center"/>
              <w:rPr>
                <w:rFonts w:ascii="宋体" w:hAnsi="宋体"/>
              </w:rPr>
            </w:pPr>
            <w:r>
              <w:rPr>
                <w:rFonts w:hint="eastAsia" w:ascii="宋体" w:hAnsi="宋体"/>
              </w:rPr>
              <w:t>主要监理人员</w:t>
            </w:r>
          </w:p>
        </w:tc>
        <w:tc>
          <w:tcPr>
            <w:tcW w:w="850" w:type="dxa"/>
            <w:vMerge w:val="restart"/>
            <w:vAlign w:val="center"/>
          </w:tcPr>
          <w:p>
            <w:pPr>
              <w:jc w:val="center"/>
              <w:rPr>
                <w:rFonts w:hint="eastAsia" w:ascii="宋体" w:hAnsi="宋体"/>
              </w:rPr>
            </w:pPr>
            <w:r>
              <w:rPr>
                <w:rFonts w:hint="eastAsia" w:ascii="宋体" w:hAnsi="宋体"/>
              </w:rPr>
              <w:t>YH</w:t>
            </w:r>
            <w:r>
              <w:rPr>
                <w:rFonts w:ascii="宋体" w:hAnsi="宋体"/>
              </w:rPr>
              <w:t>ZD</w:t>
            </w:r>
            <w:r>
              <w:rPr>
                <w:rFonts w:hint="eastAsia" w:ascii="宋体" w:hAnsi="宋体"/>
              </w:rPr>
              <w:t>B-1、2、3、4、5（延黄</w:t>
            </w:r>
            <w:r>
              <w:rPr>
                <w:rFonts w:ascii="宋体" w:hAnsi="宋体"/>
              </w:rPr>
              <w:t>驻地办</w:t>
            </w:r>
            <w:r>
              <w:rPr>
                <w:rFonts w:hint="eastAsia" w:ascii="宋体" w:hAnsi="宋体"/>
              </w:rPr>
              <w:t>1、2、3、4、5）</w:t>
            </w:r>
          </w:p>
        </w:tc>
        <w:tc>
          <w:tcPr>
            <w:tcW w:w="851" w:type="dxa"/>
            <w:vAlign w:val="center"/>
          </w:tcPr>
          <w:p>
            <w:pPr>
              <w:snapToGrid w:val="0"/>
              <w:jc w:val="center"/>
              <w:rPr>
                <w:rFonts w:ascii="宋体" w:hAnsi="宋体"/>
              </w:rPr>
            </w:pPr>
            <w:r>
              <w:rPr>
                <w:rFonts w:hint="eastAsia" w:ascii="宋体" w:hAnsi="宋体"/>
              </w:rPr>
              <w:t>高级驻地</w:t>
            </w:r>
            <w:r>
              <w:rPr>
                <w:rFonts w:ascii="宋体" w:hAnsi="宋体"/>
              </w:rPr>
              <w:t>监理工程师</w:t>
            </w:r>
          </w:p>
        </w:tc>
        <w:tc>
          <w:tcPr>
            <w:tcW w:w="567" w:type="dxa"/>
            <w:vAlign w:val="center"/>
          </w:tcPr>
          <w:p>
            <w:pPr>
              <w:snapToGrid w:val="0"/>
              <w:jc w:val="center"/>
              <w:rPr>
                <w:rFonts w:ascii="宋体" w:hAnsi="宋体"/>
              </w:rPr>
            </w:pPr>
            <w:r>
              <w:rPr>
                <w:rFonts w:hint="eastAsia" w:ascii="宋体" w:hAnsi="宋体"/>
              </w:rPr>
              <w:t>20</w:t>
            </w:r>
          </w:p>
        </w:tc>
        <w:tc>
          <w:tcPr>
            <w:tcW w:w="6704" w:type="dxa"/>
            <w:vAlign w:val="center"/>
          </w:tcPr>
          <w:p>
            <w:pPr>
              <w:snapToGrid w:val="0"/>
              <w:rPr>
                <w:rFonts w:ascii="宋体" w:hAnsi="宋体"/>
              </w:rPr>
            </w:pPr>
            <w:r>
              <w:rPr>
                <w:rFonts w:ascii="宋体" w:hAnsi="宋体"/>
                <w:b/>
                <w:bCs/>
              </w:rPr>
              <w:t>工作经验</w:t>
            </w:r>
            <w:r>
              <w:rPr>
                <w:rFonts w:hint="eastAsia" w:ascii="宋体" w:hAnsi="宋体"/>
                <w:b/>
                <w:bCs/>
              </w:rPr>
              <w:t>10</w:t>
            </w:r>
            <w:r>
              <w:rPr>
                <w:rFonts w:ascii="宋体" w:hAnsi="宋体"/>
                <w:b/>
                <w:bCs/>
              </w:rPr>
              <w:t>分：</w:t>
            </w:r>
            <w:r>
              <w:rPr>
                <w:rFonts w:ascii="宋体" w:hAnsi="宋体"/>
              </w:rPr>
              <w:t>具有5年公路工程监理工作经验得</w:t>
            </w:r>
            <w:r>
              <w:rPr>
                <w:rFonts w:hint="eastAsia" w:ascii="宋体" w:hAnsi="宋体"/>
              </w:rPr>
              <w:t>6</w:t>
            </w:r>
            <w:r>
              <w:rPr>
                <w:rFonts w:ascii="宋体" w:hAnsi="宋体"/>
              </w:rPr>
              <w:t>分，每增加一年加0.4分，最高加</w:t>
            </w:r>
            <w:r>
              <w:rPr>
                <w:rFonts w:hint="eastAsia" w:ascii="宋体" w:hAnsi="宋体"/>
              </w:rPr>
              <w:t>4</w:t>
            </w:r>
            <w:r>
              <w:rPr>
                <w:rFonts w:ascii="宋体" w:hAnsi="宋体"/>
              </w:rPr>
              <w:t>分。</w:t>
            </w:r>
          </w:p>
          <w:p>
            <w:pPr>
              <w:snapToGrid w:val="0"/>
              <w:rPr>
                <w:rFonts w:ascii="宋体" w:hAnsi="宋体"/>
                <w:b/>
                <w:bCs/>
              </w:rPr>
            </w:pPr>
            <w:r>
              <w:rPr>
                <w:rFonts w:ascii="宋体" w:hAnsi="宋体"/>
                <w:b/>
                <w:bCs/>
              </w:rPr>
              <w:t>岗位经历</w:t>
            </w:r>
            <w:r>
              <w:rPr>
                <w:rFonts w:hint="eastAsia" w:ascii="宋体" w:hAnsi="宋体"/>
                <w:b/>
                <w:bCs/>
              </w:rPr>
              <w:t>10</w:t>
            </w:r>
            <w:r>
              <w:rPr>
                <w:rFonts w:ascii="宋体" w:hAnsi="宋体"/>
                <w:b/>
                <w:bCs/>
              </w:rPr>
              <w:t>分：</w:t>
            </w:r>
            <w:r>
              <w:rPr>
                <w:rFonts w:ascii="宋体" w:hAnsi="宋体"/>
              </w:rPr>
              <w:t>担任过2个高速公路土建工程总监办总监理工程师或驻地办驻地监理工程师得</w:t>
            </w:r>
            <w:r>
              <w:rPr>
                <w:rFonts w:hint="eastAsia" w:ascii="宋体" w:hAnsi="宋体"/>
              </w:rPr>
              <w:t>6</w:t>
            </w:r>
            <w:r>
              <w:rPr>
                <w:rFonts w:ascii="宋体" w:hAnsi="宋体"/>
              </w:rPr>
              <w:t>分，每增加一个加</w:t>
            </w:r>
            <w:r>
              <w:rPr>
                <w:rFonts w:hint="eastAsia" w:ascii="宋体" w:hAnsi="宋体"/>
              </w:rPr>
              <w:t>1</w:t>
            </w:r>
            <w:r>
              <w:rPr>
                <w:rFonts w:ascii="宋体" w:hAnsi="宋体"/>
              </w:rPr>
              <w:t>分，最高加</w:t>
            </w:r>
            <w:r>
              <w:rPr>
                <w:rFonts w:hint="eastAsia" w:ascii="宋体" w:hAnsi="宋体"/>
              </w:rPr>
              <w:t>4</w:t>
            </w:r>
            <w:r>
              <w:rPr>
                <w:rFonts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385" w:type="dxa"/>
            <w:vMerge w:val="continue"/>
            <w:vAlign w:val="bottom"/>
          </w:tcPr>
          <w:p>
            <w:pPr>
              <w:snapToGrid w:val="0"/>
              <w:jc w:val="center"/>
              <w:rPr>
                <w:rFonts w:ascii="宋体" w:hAnsi="宋体"/>
              </w:rPr>
            </w:pPr>
          </w:p>
        </w:tc>
        <w:tc>
          <w:tcPr>
            <w:tcW w:w="850" w:type="dxa"/>
            <w:vMerge w:val="continue"/>
            <w:vAlign w:val="center"/>
          </w:tcPr>
          <w:p>
            <w:pPr>
              <w:snapToGrid w:val="0"/>
              <w:jc w:val="center"/>
              <w:rPr>
                <w:rFonts w:hint="eastAsia" w:ascii="宋体" w:hAnsi="宋体"/>
              </w:rPr>
            </w:pPr>
          </w:p>
        </w:tc>
        <w:tc>
          <w:tcPr>
            <w:tcW w:w="851" w:type="dxa"/>
            <w:vAlign w:val="center"/>
          </w:tcPr>
          <w:p>
            <w:pPr>
              <w:snapToGrid w:val="0"/>
              <w:jc w:val="center"/>
              <w:rPr>
                <w:rFonts w:ascii="宋体" w:hAnsi="宋体"/>
              </w:rPr>
            </w:pPr>
            <w:r>
              <w:rPr>
                <w:rFonts w:hint="eastAsia" w:ascii="宋体" w:hAnsi="宋体"/>
              </w:rPr>
              <w:t>副高级驻地监理工程师</w:t>
            </w:r>
          </w:p>
        </w:tc>
        <w:tc>
          <w:tcPr>
            <w:tcW w:w="567" w:type="dxa"/>
            <w:vAlign w:val="center"/>
          </w:tcPr>
          <w:p>
            <w:pPr>
              <w:snapToGrid w:val="0"/>
              <w:jc w:val="center"/>
              <w:rPr>
                <w:rFonts w:hint="eastAsia" w:ascii="宋体" w:hAnsi="宋体"/>
              </w:rPr>
            </w:pPr>
            <w:r>
              <w:rPr>
                <w:rFonts w:hint="eastAsia" w:ascii="宋体" w:hAnsi="宋体"/>
              </w:rPr>
              <w:t>13</w:t>
            </w:r>
          </w:p>
        </w:tc>
        <w:tc>
          <w:tcPr>
            <w:tcW w:w="6704" w:type="dxa"/>
            <w:vAlign w:val="center"/>
          </w:tcPr>
          <w:p>
            <w:pPr>
              <w:snapToGrid w:val="0"/>
              <w:rPr>
                <w:rFonts w:ascii="宋体" w:hAnsi="宋体"/>
              </w:rPr>
            </w:pPr>
            <w:r>
              <w:rPr>
                <w:rFonts w:ascii="宋体" w:hAnsi="宋体"/>
                <w:b/>
                <w:bCs/>
              </w:rPr>
              <w:t>职称2分：</w:t>
            </w:r>
            <w:r>
              <w:rPr>
                <w:rFonts w:ascii="宋体" w:hAnsi="宋体"/>
              </w:rPr>
              <w:t>高级或以上职称得2分，中级职称得1.2分。</w:t>
            </w:r>
          </w:p>
          <w:p>
            <w:pPr>
              <w:snapToGrid w:val="0"/>
              <w:rPr>
                <w:rFonts w:ascii="宋体" w:hAnsi="宋体"/>
              </w:rPr>
            </w:pPr>
            <w:r>
              <w:rPr>
                <w:rFonts w:ascii="宋体" w:hAnsi="宋体"/>
                <w:b/>
                <w:bCs/>
              </w:rPr>
              <w:t>工作经验3分：</w:t>
            </w:r>
            <w:r>
              <w:rPr>
                <w:rFonts w:ascii="宋体" w:hAnsi="宋体"/>
              </w:rPr>
              <w:t>具有5年公路工程监理工作经验得1.8分，每增加一年加0.</w:t>
            </w:r>
            <w:r>
              <w:rPr>
                <w:rFonts w:hint="eastAsia" w:ascii="宋体" w:hAnsi="宋体"/>
              </w:rPr>
              <w:t>1</w:t>
            </w:r>
            <w:r>
              <w:rPr>
                <w:rFonts w:ascii="宋体" w:hAnsi="宋体"/>
              </w:rPr>
              <w:t>分，最高加1.2分。</w:t>
            </w:r>
          </w:p>
          <w:p>
            <w:pPr>
              <w:snapToGrid w:val="0"/>
              <w:rPr>
                <w:rFonts w:ascii="宋体" w:hAnsi="宋体"/>
              </w:rPr>
            </w:pPr>
            <w:r>
              <w:rPr>
                <w:rFonts w:ascii="宋体" w:hAnsi="宋体"/>
                <w:b/>
                <w:bCs/>
              </w:rPr>
              <w:t>岗位经历</w:t>
            </w:r>
            <w:r>
              <w:rPr>
                <w:rFonts w:hint="eastAsia" w:ascii="宋体" w:hAnsi="宋体"/>
                <w:b/>
                <w:bCs/>
              </w:rPr>
              <w:t>8</w:t>
            </w:r>
            <w:r>
              <w:rPr>
                <w:rFonts w:ascii="宋体" w:hAnsi="宋体"/>
                <w:b/>
                <w:bCs/>
              </w:rPr>
              <w:t>分：</w:t>
            </w:r>
            <w:r>
              <w:rPr>
                <w:rFonts w:ascii="宋体" w:hAnsi="宋体"/>
              </w:rPr>
              <w:t>担任过1个高速公路土建工程总监办副总监理工程师（驻地办副驻地监理工程师）或以上职务得</w:t>
            </w:r>
            <w:r>
              <w:rPr>
                <w:rFonts w:hint="eastAsia" w:ascii="宋体" w:hAnsi="宋体"/>
              </w:rPr>
              <w:t>4.8</w:t>
            </w:r>
            <w:r>
              <w:rPr>
                <w:rFonts w:ascii="宋体" w:hAnsi="宋体"/>
              </w:rPr>
              <w:t>分，每增加一个加</w:t>
            </w:r>
            <w:r>
              <w:rPr>
                <w:rFonts w:hint="eastAsia" w:ascii="宋体" w:hAnsi="宋体"/>
              </w:rPr>
              <w:t>0.8</w:t>
            </w:r>
            <w:r>
              <w:rPr>
                <w:rFonts w:ascii="宋体" w:hAnsi="宋体"/>
              </w:rPr>
              <w:t>分，最高加</w:t>
            </w:r>
            <w:r>
              <w:rPr>
                <w:rFonts w:hint="eastAsia" w:ascii="宋体" w:hAnsi="宋体"/>
              </w:rPr>
              <w:t>3.2</w:t>
            </w:r>
            <w:r>
              <w:rPr>
                <w:rFonts w:ascii="宋体" w:hAnsi="宋体"/>
              </w:rPr>
              <w:t>分。</w:t>
            </w:r>
          </w:p>
          <w:p>
            <w:pPr>
              <w:snapToGrid w:val="0"/>
              <w:rPr>
                <w:rFonts w:ascii="宋体" w:hAnsi="宋体"/>
              </w:rPr>
            </w:pPr>
            <w:r>
              <w:rPr>
                <w:rFonts w:hint="eastAsia" w:ascii="宋体" w:hAnsi="宋体"/>
              </w:rPr>
              <w:t>备注：2个人员评分取平均分值。</w:t>
            </w:r>
          </w:p>
        </w:tc>
      </w:tr>
    </w:tbl>
    <w:p>
      <w:pPr>
        <w:spacing w:line="312" w:lineRule="auto"/>
        <w:rPr>
          <w:rFonts w:hint="eastAsia"/>
        </w:rPr>
      </w:pPr>
    </w:p>
    <w:p>
      <w:pPr>
        <w:spacing w:line="312" w:lineRule="auto"/>
        <w:ind w:firstLine="560"/>
      </w:pPr>
      <w:r>
        <w:t>（2）监理交通工具（</w:t>
      </w:r>
      <w:r>
        <w:rPr>
          <w:rFonts w:hint="eastAsia"/>
        </w:rPr>
        <w:t>5</w:t>
      </w:r>
      <w:r>
        <w:t>分）</w:t>
      </w:r>
    </w:p>
    <w:tbl>
      <w:tblPr>
        <w:tblStyle w:val="7"/>
        <w:tblW w:w="935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1701"/>
        <w:gridCol w:w="1134"/>
        <w:gridCol w:w="5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blHeader/>
        </w:trPr>
        <w:tc>
          <w:tcPr>
            <w:tcW w:w="2936" w:type="dxa"/>
            <w:gridSpan w:val="2"/>
            <w:vAlign w:val="center"/>
          </w:tcPr>
          <w:p>
            <w:pPr>
              <w:snapToGrid w:val="0"/>
              <w:jc w:val="center"/>
              <w:rPr>
                <w:rFonts w:ascii="宋体" w:hAnsi="宋体"/>
              </w:rPr>
            </w:pPr>
            <w:r>
              <w:rPr>
                <w:rFonts w:ascii="宋体" w:hAnsi="宋体"/>
              </w:rPr>
              <w:t>评分因素</w:t>
            </w:r>
          </w:p>
        </w:tc>
        <w:tc>
          <w:tcPr>
            <w:tcW w:w="1134" w:type="dxa"/>
            <w:vAlign w:val="center"/>
          </w:tcPr>
          <w:p>
            <w:pPr>
              <w:snapToGrid w:val="0"/>
              <w:jc w:val="center"/>
              <w:rPr>
                <w:rFonts w:ascii="宋体" w:hAnsi="宋体"/>
              </w:rPr>
            </w:pPr>
            <w:r>
              <w:rPr>
                <w:rFonts w:ascii="宋体" w:hAnsi="宋体"/>
              </w:rPr>
              <w:t>分值</w:t>
            </w:r>
          </w:p>
        </w:tc>
        <w:tc>
          <w:tcPr>
            <w:tcW w:w="5287" w:type="dxa"/>
            <w:vAlign w:val="center"/>
          </w:tcPr>
          <w:p>
            <w:pPr>
              <w:snapToGrid w:val="0"/>
              <w:jc w:val="center"/>
              <w:rPr>
                <w:rFonts w:ascii="宋体" w:hAnsi="宋体"/>
              </w:rPr>
            </w:pPr>
            <w:r>
              <w:rPr>
                <w:rFonts w:ascii="宋体" w:hAnsi="宋体"/>
              </w:rPr>
              <w:t>评分因素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1235" w:type="dxa"/>
            <w:vMerge w:val="restart"/>
            <w:vAlign w:val="center"/>
          </w:tcPr>
          <w:p>
            <w:pPr>
              <w:snapToGrid w:val="0"/>
              <w:jc w:val="center"/>
              <w:rPr>
                <w:rFonts w:ascii="宋体" w:hAnsi="宋体"/>
              </w:rPr>
            </w:pPr>
            <w:r>
              <w:rPr>
                <w:rFonts w:ascii="宋体" w:hAnsi="宋体"/>
              </w:rPr>
              <w:t>监理服务交通工具</w:t>
            </w:r>
          </w:p>
        </w:tc>
        <w:tc>
          <w:tcPr>
            <w:tcW w:w="1701" w:type="dxa"/>
            <w:vAlign w:val="center"/>
          </w:tcPr>
          <w:p>
            <w:pPr>
              <w:snapToGrid w:val="0"/>
              <w:jc w:val="center"/>
              <w:rPr>
                <w:rFonts w:ascii="宋体" w:hAnsi="宋体"/>
              </w:rPr>
            </w:pPr>
            <w:r>
              <w:rPr>
                <w:rFonts w:ascii="宋体" w:hAnsi="宋体"/>
              </w:rPr>
              <w:t>四缸越野车</w:t>
            </w:r>
          </w:p>
        </w:tc>
        <w:tc>
          <w:tcPr>
            <w:tcW w:w="1134" w:type="dxa"/>
            <w:vAlign w:val="center"/>
          </w:tcPr>
          <w:p>
            <w:pPr>
              <w:snapToGrid w:val="0"/>
              <w:jc w:val="center"/>
              <w:rPr>
                <w:rFonts w:hint="eastAsia" w:ascii="宋体" w:hAnsi="宋体"/>
              </w:rPr>
            </w:pPr>
            <w:r>
              <w:rPr>
                <w:rFonts w:hint="eastAsia" w:ascii="宋体" w:hAnsi="宋体"/>
              </w:rPr>
              <w:t>3</w:t>
            </w:r>
          </w:p>
        </w:tc>
        <w:tc>
          <w:tcPr>
            <w:tcW w:w="5287" w:type="dxa"/>
            <w:vAlign w:val="center"/>
          </w:tcPr>
          <w:p>
            <w:pPr>
              <w:snapToGrid w:val="0"/>
              <w:spacing w:line="260" w:lineRule="exact"/>
              <w:ind w:firstLine="315" w:firstLineChars="150"/>
              <w:rPr>
                <w:rFonts w:ascii="宋体" w:hAnsi="宋体"/>
              </w:rPr>
            </w:pPr>
            <w:r>
              <w:rPr>
                <w:rFonts w:ascii="宋体" w:hAnsi="宋体"/>
                <w:b/>
                <w:bCs/>
              </w:rPr>
              <w:t>数量</w:t>
            </w:r>
            <w:r>
              <w:rPr>
                <w:rFonts w:hint="eastAsia" w:ascii="宋体" w:hAnsi="宋体"/>
                <w:b/>
                <w:bCs/>
              </w:rPr>
              <w:t>3</w:t>
            </w:r>
            <w:r>
              <w:rPr>
                <w:rFonts w:ascii="宋体" w:hAnsi="宋体"/>
                <w:b/>
                <w:bCs/>
              </w:rPr>
              <w:t>分：</w:t>
            </w:r>
            <w:r>
              <w:rPr>
                <w:rFonts w:ascii="宋体" w:hAnsi="宋体"/>
              </w:rPr>
              <w:t>满足最低要求得</w:t>
            </w:r>
            <w:r>
              <w:rPr>
                <w:rFonts w:hint="eastAsia" w:ascii="宋体" w:hAnsi="宋体"/>
              </w:rPr>
              <w:t>1.8</w:t>
            </w:r>
            <w:r>
              <w:rPr>
                <w:rFonts w:ascii="宋体" w:hAnsi="宋体"/>
              </w:rPr>
              <w:t>分，每增加一辆加</w:t>
            </w:r>
            <w:r>
              <w:rPr>
                <w:rFonts w:hint="eastAsia" w:ascii="宋体" w:hAnsi="宋体"/>
              </w:rPr>
              <w:t>0.6</w:t>
            </w:r>
            <w:r>
              <w:rPr>
                <w:rFonts w:ascii="宋体" w:hAnsi="宋体"/>
              </w:rPr>
              <w:t>分，最高加</w:t>
            </w:r>
            <w:r>
              <w:rPr>
                <w:rFonts w:hint="eastAsia" w:ascii="宋体" w:hAnsi="宋体"/>
              </w:rPr>
              <w:t>1.2</w:t>
            </w:r>
            <w:r>
              <w:rPr>
                <w:rFonts w:ascii="宋体" w:hAnsi="宋体"/>
              </w:rPr>
              <w:t>分</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3" w:hRule="atLeast"/>
        </w:trPr>
        <w:tc>
          <w:tcPr>
            <w:tcW w:w="1235" w:type="dxa"/>
            <w:vMerge w:val="continue"/>
            <w:vAlign w:val="top"/>
          </w:tcPr>
          <w:p>
            <w:pPr>
              <w:snapToGrid w:val="0"/>
              <w:jc w:val="center"/>
              <w:rPr>
                <w:rFonts w:ascii="宋体" w:hAnsi="宋体"/>
                <w:sz w:val="24"/>
                <w:szCs w:val="24"/>
              </w:rPr>
            </w:pPr>
          </w:p>
        </w:tc>
        <w:tc>
          <w:tcPr>
            <w:tcW w:w="1701" w:type="dxa"/>
            <w:vAlign w:val="center"/>
          </w:tcPr>
          <w:p>
            <w:pPr>
              <w:snapToGrid w:val="0"/>
              <w:jc w:val="center"/>
              <w:rPr>
                <w:rFonts w:ascii="宋体" w:hAnsi="宋体"/>
              </w:rPr>
            </w:pPr>
            <w:r>
              <w:rPr>
                <w:rFonts w:ascii="宋体" w:hAnsi="宋体"/>
              </w:rPr>
              <w:t>皮卡车</w:t>
            </w:r>
          </w:p>
        </w:tc>
        <w:tc>
          <w:tcPr>
            <w:tcW w:w="1134" w:type="dxa"/>
            <w:vAlign w:val="center"/>
          </w:tcPr>
          <w:p>
            <w:pPr>
              <w:snapToGrid w:val="0"/>
              <w:jc w:val="center"/>
              <w:rPr>
                <w:rFonts w:hint="eastAsia" w:ascii="宋体" w:hAnsi="宋体"/>
              </w:rPr>
            </w:pPr>
            <w:r>
              <w:rPr>
                <w:rFonts w:hint="eastAsia" w:ascii="宋体" w:hAnsi="宋体"/>
              </w:rPr>
              <w:t>2</w:t>
            </w:r>
          </w:p>
        </w:tc>
        <w:tc>
          <w:tcPr>
            <w:tcW w:w="5287" w:type="dxa"/>
            <w:vAlign w:val="center"/>
          </w:tcPr>
          <w:p>
            <w:pPr>
              <w:snapToGrid w:val="0"/>
              <w:spacing w:line="280" w:lineRule="exact"/>
              <w:ind w:firstLine="315" w:firstLineChars="150"/>
              <w:rPr>
                <w:rFonts w:ascii="宋体" w:hAnsi="宋体"/>
              </w:rPr>
            </w:pPr>
            <w:r>
              <w:rPr>
                <w:rFonts w:ascii="宋体" w:hAnsi="宋体"/>
                <w:b/>
                <w:bCs/>
              </w:rPr>
              <w:t>数量</w:t>
            </w:r>
            <w:r>
              <w:rPr>
                <w:rFonts w:hint="eastAsia" w:ascii="宋体" w:hAnsi="宋体"/>
                <w:b/>
                <w:bCs/>
              </w:rPr>
              <w:t>2</w:t>
            </w:r>
            <w:r>
              <w:rPr>
                <w:rFonts w:ascii="宋体" w:hAnsi="宋体"/>
                <w:b/>
                <w:bCs/>
              </w:rPr>
              <w:t>分：</w:t>
            </w:r>
            <w:r>
              <w:rPr>
                <w:rFonts w:ascii="宋体" w:hAnsi="宋体"/>
              </w:rPr>
              <w:t>满足最低要求得1.</w:t>
            </w:r>
            <w:r>
              <w:rPr>
                <w:rFonts w:hint="eastAsia" w:ascii="宋体" w:hAnsi="宋体"/>
              </w:rPr>
              <w:t>2</w:t>
            </w:r>
            <w:r>
              <w:rPr>
                <w:rFonts w:ascii="宋体" w:hAnsi="宋体"/>
              </w:rPr>
              <w:t>分，每增加一辆加0.</w:t>
            </w:r>
            <w:r>
              <w:rPr>
                <w:rFonts w:hint="eastAsia" w:ascii="宋体" w:hAnsi="宋体"/>
              </w:rPr>
              <w:t>4</w:t>
            </w:r>
            <w:r>
              <w:rPr>
                <w:rFonts w:ascii="宋体" w:hAnsi="宋体"/>
              </w:rPr>
              <w:t>分，最高加</w:t>
            </w:r>
            <w:r>
              <w:rPr>
                <w:rFonts w:hint="eastAsia" w:ascii="宋体" w:hAnsi="宋体"/>
              </w:rPr>
              <w:t>0.8</w:t>
            </w:r>
            <w:r>
              <w:rPr>
                <w:rFonts w:ascii="宋体" w:hAnsi="宋体"/>
              </w:rPr>
              <w:t>分</w:t>
            </w:r>
            <w:r>
              <w:rPr>
                <w:rFonts w:hint="eastAsia" w:ascii="宋体" w:hAnsi="宋体"/>
              </w:rPr>
              <w:t>。</w:t>
            </w:r>
          </w:p>
        </w:tc>
      </w:tr>
    </w:tbl>
    <w:p>
      <w:pPr>
        <w:spacing w:line="312" w:lineRule="auto"/>
        <w:ind w:firstLine="560"/>
        <w:rPr>
          <w:rFonts w:hint="eastAsia"/>
        </w:rPr>
      </w:pPr>
      <w:r>
        <w:t>（3）监理业绩</w:t>
      </w:r>
      <w:r>
        <w:rPr>
          <w:rFonts w:hint="eastAsia"/>
        </w:rPr>
        <w:t>、</w:t>
      </w:r>
      <w:r>
        <w:t>信誉与信用评价（12分）</w:t>
      </w:r>
    </w:p>
    <w:p>
      <w:pPr>
        <w:spacing w:line="312" w:lineRule="auto"/>
        <w:ind w:firstLine="560"/>
        <w:rPr>
          <w:rFonts w:ascii="宋体" w:hAnsi="宋体"/>
          <w:sz w:val="24"/>
          <w:szCs w:val="24"/>
        </w:rPr>
      </w:pPr>
      <w:r>
        <w:rPr>
          <w:rFonts w:hint="eastAsia" w:ascii="宋体" w:hAnsi="宋体"/>
          <w:sz w:val="24"/>
          <w:szCs w:val="24"/>
        </w:rPr>
        <w:t>a.监理标段</w:t>
      </w:r>
    </w:p>
    <w:tbl>
      <w:tblPr>
        <w:tblStyle w:val="7"/>
        <w:tblW w:w="935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1284"/>
        <w:gridCol w:w="842"/>
        <w:gridCol w:w="6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blHeader/>
        </w:trPr>
        <w:tc>
          <w:tcPr>
            <w:tcW w:w="2236" w:type="dxa"/>
            <w:gridSpan w:val="2"/>
            <w:vAlign w:val="center"/>
          </w:tcPr>
          <w:p>
            <w:pPr>
              <w:snapToGrid w:val="0"/>
              <w:jc w:val="center"/>
              <w:rPr>
                <w:rFonts w:ascii="宋体" w:hAnsi="宋体"/>
              </w:rPr>
            </w:pPr>
            <w:r>
              <w:rPr>
                <w:rFonts w:ascii="宋体" w:hAnsi="宋体"/>
              </w:rPr>
              <w:t>评分因素</w:t>
            </w:r>
          </w:p>
        </w:tc>
        <w:tc>
          <w:tcPr>
            <w:tcW w:w="842" w:type="dxa"/>
            <w:vAlign w:val="center"/>
          </w:tcPr>
          <w:p>
            <w:pPr>
              <w:snapToGrid w:val="0"/>
              <w:jc w:val="center"/>
              <w:rPr>
                <w:rFonts w:ascii="宋体" w:hAnsi="宋体"/>
              </w:rPr>
            </w:pPr>
            <w:r>
              <w:rPr>
                <w:rFonts w:ascii="宋体" w:hAnsi="宋体"/>
              </w:rPr>
              <w:t>分值</w:t>
            </w:r>
          </w:p>
        </w:tc>
        <w:tc>
          <w:tcPr>
            <w:tcW w:w="6279" w:type="dxa"/>
            <w:vAlign w:val="center"/>
          </w:tcPr>
          <w:p>
            <w:pPr>
              <w:snapToGrid w:val="0"/>
              <w:jc w:val="center"/>
              <w:rPr>
                <w:rFonts w:ascii="宋体" w:hAnsi="宋体"/>
              </w:rPr>
            </w:pPr>
            <w:r>
              <w:rPr>
                <w:rFonts w:ascii="宋体" w:hAnsi="宋体"/>
              </w:rPr>
              <w:t>评分因素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4" w:hRule="atLeast"/>
        </w:trPr>
        <w:tc>
          <w:tcPr>
            <w:tcW w:w="952" w:type="dxa"/>
            <w:vMerge w:val="restart"/>
            <w:vAlign w:val="center"/>
          </w:tcPr>
          <w:p>
            <w:pPr>
              <w:snapToGrid w:val="0"/>
              <w:rPr>
                <w:rFonts w:ascii="宋体" w:hAnsi="宋体"/>
              </w:rPr>
            </w:pPr>
            <w:r>
              <w:rPr>
                <w:rFonts w:ascii="宋体" w:hAnsi="宋体"/>
              </w:rPr>
              <w:t>监理服务业绩</w:t>
            </w:r>
          </w:p>
        </w:tc>
        <w:tc>
          <w:tcPr>
            <w:tcW w:w="1284" w:type="dxa"/>
            <w:vAlign w:val="center"/>
          </w:tcPr>
          <w:p>
            <w:pPr>
              <w:jc w:val="center"/>
              <w:rPr>
                <w:rFonts w:ascii="宋体" w:hAnsi="宋体"/>
              </w:rPr>
            </w:pPr>
            <w:r>
              <w:rPr>
                <w:rFonts w:hint="eastAsia" w:ascii="宋体" w:hAnsi="宋体"/>
              </w:rPr>
              <w:t>YH</w:t>
            </w:r>
            <w:r>
              <w:rPr>
                <w:rFonts w:ascii="宋体" w:hAnsi="宋体"/>
              </w:rPr>
              <w:t>ZJ</w:t>
            </w:r>
            <w:r>
              <w:rPr>
                <w:rFonts w:hint="eastAsia" w:ascii="宋体" w:hAnsi="宋体"/>
              </w:rPr>
              <w:t>B</w:t>
            </w:r>
          </w:p>
          <w:p>
            <w:pPr>
              <w:snapToGrid w:val="0"/>
              <w:jc w:val="center"/>
              <w:rPr>
                <w:rFonts w:ascii="宋体" w:hAnsi="宋体"/>
              </w:rPr>
            </w:pPr>
            <w:r>
              <w:rPr>
                <w:rFonts w:hint="eastAsia" w:ascii="宋体" w:hAnsi="宋体"/>
              </w:rPr>
              <w:t>（延黄</w:t>
            </w:r>
            <w:r>
              <w:rPr>
                <w:rFonts w:ascii="宋体" w:hAnsi="宋体"/>
              </w:rPr>
              <w:t>总监办）</w:t>
            </w:r>
          </w:p>
        </w:tc>
        <w:tc>
          <w:tcPr>
            <w:tcW w:w="842" w:type="dxa"/>
            <w:vAlign w:val="center"/>
          </w:tcPr>
          <w:p>
            <w:pPr>
              <w:snapToGrid w:val="0"/>
              <w:jc w:val="center"/>
              <w:rPr>
                <w:rFonts w:ascii="宋体" w:hAnsi="宋体"/>
              </w:rPr>
            </w:pPr>
            <w:r>
              <w:rPr>
                <w:rFonts w:hint="eastAsia" w:ascii="宋体" w:hAnsi="宋体"/>
              </w:rPr>
              <w:t>6</w:t>
            </w:r>
          </w:p>
        </w:tc>
        <w:tc>
          <w:tcPr>
            <w:tcW w:w="6279" w:type="dxa"/>
            <w:vAlign w:val="center"/>
          </w:tcPr>
          <w:p>
            <w:pPr>
              <w:snapToGrid w:val="0"/>
              <w:rPr>
                <w:rFonts w:ascii="宋体" w:hAnsi="宋体"/>
              </w:rPr>
            </w:pPr>
            <w:r>
              <w:rPr>
                <w:rFonts w:ascii="宋体" w:hAnsi="宋体"/>
              </w:rPr>
              <w:t>近5年(201</w:t>
            </w:r>
            <w:r>
              <w:rPr>
                <w:rFonts w:hint="eastAsia" w:ascii="宋体" w:hAnsi="宋体"/>
              </w:rPr>
              <w:t>2</w:t>
            </w:r>
            <w:r>
              <w:rPr>
                <w:rFonts w:ascii="宋体" w:hAnsi="宋体"/>
              </w:rPr>
              <w:t>年起)独立完成2个高速公路</w:t>
            </w:r>
            <w:r>
              <w:rPr>
                <w:rFonts w:hint="eastAsia" w:ascii="宋体" w:hAnsi="宋体"/>
              </w:rPr>
              <w:t>（新建或改扩建）</w:t>
            </w:r>
            <w:r>
              <w:rPr>
                <w:rFonts w:ascii="宋体" w:hAnsi="宋体"/>
              </w:rPr>
              <w:t>工程合同段的监理任务，且累计里程为</w:t>
            </w:r>
            <w:r>
              <w:rPr>
                <w:rFonts w:hint="eastAsia" w:ascii="宋体" w:hAnsi="宋体"/>
              </w:rPr>
              <w:t>100</w:t>
            </w:r>
            <w:r>
              <w:rPr>
                <w:rFonts w:ascii="宋体" w:hAnsi="宋体"/>
              </w:rPr>
              <w:t>公里（按双幅计）得</w:t>
            </w:r>
            <w:r>
              <w:rPr>
                <w:rFonts w:hint="eastAsia" w:ascii="宋体" w:hAnsi="宋体"/>
              </w:rPr>
              <w:t>3</w:t>
            </w:r>
            <w:r>
              <w:rPr>
                <w:rFonts w:ascii="宋体" w:hAnsi="宋体"/>
              </w:rPr>
              <w:t>.</w:t>
            </w:r>
            <w:r>
              <w:rPr>
                <w:rFonts w:hint="eastAsia" w:ascii="宋体" w:hAnsi="宋体"/>
              </w:rPr>
              <w:t>6</w:t>
            </w:r>
            <w:r>
              <w:rPr>
                <w:rFonts w:ascii="宋体" w:hAnsi="宋体"/>
              </w:rPr>
              <w:t>分，每增加</w:t>
            </w:r>
            <w:r>
              <w:rPr>
                <w:rFonts w:hint="eastAsia" w:ascii="宋体" w:hAnsi="宋体"/>
              </w:rPr>
              <w:t>1</w:t>
            </w:r>
            <w:r>
              <w:rPr>
                <w:rFonts w:ascii="宋体" w:hAnsi="宋体"/>
              </w:rPr>
              <w:t>个高速公路总监办业绩加</w:t>
            </w:r>
            <w:r>
              <w:rPr>
                <w:rFonts w:hint="eastAsia" w:ascii="宋体" w:hAnsi="宋体"/>
              </w:rPr>
              <w:t>0.4</w:t>
            </w:r>
            <w:r>
              <w:rPr>
                <w:rFonts w:ascii="宋体" w:hAnsi="宋体"/>
              </w:rPr>
              <w:t>分，最多加</w:t>
            </w:r>
            <w:r>
              <w:rPr>
                <w:rFonts w:hint="eastAsia" w:ascii="宋体" w:hAnsi="宋体"/>
              </w:rPr>
              <w:t>2</w:t>
            </w:r>
            <w:r>
              <w:rPr>
                <w:rFonts w:ascii="宋体" w:hAnsi="宋体"/>
              </w:rPr>
              <w:t>.</w:t>
            </w:r>
            <w:r>
              <w:rPr>
                <w:rFonts w:hint="eastAsia" w:ascii="宋体" w:hAnsi="宋体"/>
              </w:rPr>
              <w:t>4</w:t>
            </w:r>
            <w:r>
              <w:rPr>
                <w:rFonts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4" w:hRule="atLeast"/>
        </w:trPr>
        <w:tc>
          <w:tcPr>
            <w:tcW w:w="952" w:type="dxa"/>
            <w:vMerge w:val="continue"/>
            <w:vAlign w:val="center"/>
          </w:tcPr>
          <w:p>
            <w:pPr>
              <w:snapToGrid w:val="0"/>
              <w:rPr>
                <w:rFonts w:ascii="宋体" w:hAnsi="宋体"/>
              </w:rPr>
            </w:pPr>
          </w:p>
        </w:tc>
        <w:tc>
          <w:tcPr>
            <w:tcW w:w="1284" w:type="dxa"/>
            <w:vAlign w:val="center"/>
          </w:tcPr>
          <w:p>
            <w:pPr>
              <w:snapToGrid w:val="0"/>
              <w:jc w:val="center"/>
              <w:rPr>
                <w:rFonts w:ascii="宋体" w:hAnsi="宋体"/>
              </w:rPr>
            </w:pPr>
            <w:r>
              <w:rPr>
                <w:rFonts w:hint="eastAsia" w:ascii="宋体" w:hAnsi="宋体"/>
              </w:rPr>
              <w:t>NSZJB-1、2</w:t>
            </w:r>
            <w:r>
              <w:rPr>
                <w:rFonts w:ascii="宋体" w:hAnsi="宋体"/>
              </w:rPr>
              <w:t xml:space="preserve">        </w:t>
            </w:r>
            <w:r>
              <w:rPr>
                <w:rFonts w:hint="eastAsia" w:ascii="宋体" w:hAnsi="宋体"/>
              </w:rPr>
              <w:t>（宁石总监</w:t>
            </w:r>
            <w:r>
              <w:rPr>
                <w:rFonts w:ascii="宋体" w:hAnsi="宋体"/>
              </w:rPr>
              <w:t>办</w:t>
            </w:r>
            <w:r>
              <w:rPr>
                <w:rFonts w:hint="eastAsia" w:ascii="宋体" w:hAnsi="宋体"/>
              </w:rPr>
              <w:t>1、2）</w:t>
            </w:r>
          </w:p>
        </w:tc>
        <w:tc>
          <w:tcPr>
            <w:tcW w:w="842" w:type="dxa"/>
            <w:vAlign w:val="center"/>
          </w:tcPr>
          <w:p>
            <w:pPr>
              <w:snapToGrid w:val="0"/>
              <w:jc w:val="center"/>
              <w:rPr>
                <w:rFonts w:ascii="宋体" w:hAnsi="宋体"/>
              </w:rPr>
            </w:pPr>
            <w:r>
              <w:rPr>
                <w:rFonts w:hint="eastAsia" w:ascii="宋体" w:hAnsi="宋体"/>
              </w:rPr>
              <w:t>6</w:t>
            </w:r>
          </w:p>
        </w:tc>
        <w:tc>
          <w:tcPr>
            <w:tcW w:w="6279" w:type="dxa"/>
            <w:vAlign w:val="center"/>
          </w:tcPr>
          <w:p>
            <w:pPr>
              <w:snapToGrid w:val="0"/>
              <w:rPr>
                <w:rFonts w:ascii="宋体" w:hAnsi="宋体"/>
              </w:rPr>
            </w:pPr>
            <w:r>
              <w:rPr>
                <w:rFonts w:ascii="宋体" w:hAnsi="宋体"/>
              </w:rPr>
              <w:t>近5年(201</w:t>
            </w:r>
            <w:r>
              <w:rPr>
                <w:rFonts w:hint="eastAsia" w:ascii="宋体" w:hAnsi="宋体"/>
              </w:rPr>
              <w:t>2</w:t>
            </w:r>
            <w:r>
              <w:rPr>
                <w:rFonts w:ascii="宋体" w:hAnsi="宋体"/>
              </w:rPr>
              <w:t>年起)独立完成2个高速公路</w:t>
            </w:r>
            <w:r>
              <w:rPr>
                <w:rFonts w:hint="eastAsia" w:ascii="宋体" w:hAnsi="宋体"/>
              </w:rPr>
              <w:t>（新建或改扩建）</w:t>
            </w:r>
            <w:r>
              <w:rPr>
                <w:rFonts w:ascii="宋体" w:hAnsi="宋体"/>
              </w:rPr>
              <w:t>工程合同段的监理任务，且累计里程为</w:t>
            </w:r>
            <w:r>
              <w:rPr>
                <w:rFonts w:hint="eastAsia" w:ascii="宋体" w:hAnsi="宋体"/>
              </w:rPr>
              <w:t>50</w:t>
            </w:r>
            <w:r>
              <w:rPr>
                <w:rFonts w:ascii="宋体" w:hAnsi="宋体"/>
              </w:rPr>
              <w:t>公里（按双幅计）得</w:t>
            </w:r>
            <w:r>
              <w:rPr>
                <w:rFonts w:hint="eastAsia" w:ascii="宋体" w:hAnsi="宋体"/>
              </w:rPr>
              <w:t>3.6</w:t>
            </w:r>
            <w:r>
              <w:rPr>
                <w:rFonts w:ascii="宋体" w:hAnsi="宋体"/>
              </w:rPr>
              <w:t>分，每增加1个高速公路业绩加</w:t>
            </w:r>
            <w:r>
              <w:rPr>
                <w:rFonts w:hint="eastAsia" w:ascii="宋体" w:hAnsi="宋体"/>
              </w:rPr>
              <w:t>0.4</w:t>
            </w:r>
            <w:r>
              <w:rPr>
                <w:rFonts w:ascii="宋体" w:hAnsi="宋体"/>
              </w:rPr>
              <w:t>分，最多加</w:t>
            </w:r>
            <w:r>
              <w:rPr>
                <w:rFonts w:hint="eastAsia" w:ascii="宋体" w:hAnsi="宋体"/>
              </w:rPr>
              <w:t>2</w:t>
            </w:r>
            <w:r>
              <w:rPr>
                <w:rFonts w:ascii="宋体" w:hAnsi="宋体"/>
              </w:rPr>
              <w:t>.</w:t>
            </w:r>
            <w:r>
              <w:rPr>
                <w:rFonts w:hint="eastAsia" w:ascii="宋体" w:hAnsi="宋体"/>
              </w:rPr>
              <w:t>4</w:t>
            </w:r>
            <w:r>
              <w:rPr>
                <w:rFonts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4" w:hRule="atLeast"/>
        </w:trPr>
        <w:tc>
          <w:tcPr>
            <w:tcW w:w="952" w:type="dxa"/>
            <w:vMerge w:val="continue"/>
            <w:vAlign w:val="center"/>
          </w:tcPr>
          <w:p>
            <w:pPr>
              <w:snapToGrid w:val="0"/>
              <w:jc w:val="center"/>
              <w:rPr>
                <w:rFonts w:ascii="宋体" w:hAnsi="宋体"/>
              </w:rPr>
            </w:pPr>
          </w:p>
        </w:tc>
        <w:tc>
          <w:tcPr>
            <w:tcW w:w="1284" w:type="dxa"/>
            <w:vAlign w:val="center"/>
          </w:tcPr>
          <w:p>
            <w:pPr>
              <w:jc w:val="center"/>
              <w:rPr>
                <w:rFonts w:ascii="宋体" w:hAnsi="宋体"/>
              </w:rPr>
            </w:pPr>
            <w:r>
              <w:rPr>
                <w:rFonts w:hint="eastAsia" w:ascii="宋体" w:hAnsi="宋体"/>
              </w:rPr>
              <w:t>YH</w:t>
            </w:r>
            <w:r>
              <w:rPr>
                <w:rFonts w:ascii="宋体" w:hAnsi="宋体"/>
              </w:rPr>
              <w:t>Z</w:t>
            </w:r>
            <w:r>
              <w:rPr>
                <w:rFonts w:hint="eastAsia" w:ascii="宋体" w:hAnsi="宋体"/>
              </w:rPr>
              <w:t>DB 1-5</w:t>
            </w:r>
          </w:p>
          <w:p>
            <w:pPr>
              <w:jc w:val="center"/>
              <w:rPr>
                <w:rFonts w:ascii="宋体" w:hAnsi="宋体"/>
              </w:rPr>
            </w:pPr>
            <w:r>
              <w:rPr>
                <w:rFonts w:hint="eastAsia" w:ascii="宋体" w:hAnsi="宋体"/>
              </w:rPr>
              <w:t>（延黄</w:t>
            </w:r>
            <w:r>
              <w:rPr>
                <w:rFonts w:ascii="宋体" w:hAnsi="宋体"/>
              </w:rPr>
              <w:t>驻地办</w:t>
            </w:r>
            <w:r>
              <w:rPr>
                <w:rFonts w:hint="eastAsia" w:ascii="宋体" w:hAnsi="宋体"/>
              </w:rPr>
              <w:t>1-5）</w:t>
            </w:r>
          </w:p>
        </w:tc>
        <w:tc>
          <w:tcPr>
            <w:tcW w:w="842" w:type="dxa"/>
            <w:vAlign w:val="center"/>
          </w:tcPr>
          <w:p>
            <w:pPr>
              <w:snapToGrid w:val="0"/>
              <w:jc w:val="center"/>
              <w:rPr>
                <w:rFonts w:ascii="宋体" w:hAnsi="宋体"/>
              </w:rPr>
            </w:pPr>
            <w:r>
              <w:rPr>
                <w:rFonts w:hint="eastAsia" w:ascii="宋体" w:hAnsi="宋体"/>
              </w:rPr>
              <w:t>6</w:t>
            </w:r>
          </w:p>
        </w:tc>
        <w:tc>
          <w:tcPr>
            <w:tcW w:w="6279" w:type="dxa"/>
            <w:vAlign w:val="center"/>
          </w:tcPr>
          <w:p>
            <w:pPr>
              <w:snapToGrid w:val="0"/>
              <w:rPr>
                <w:rFonts w:ascii="宋体" w:hAnsi="宋体"/>
              </w:rPr>
            </w:pPr>
            <w:r>
              <w:rPr>
                <w:rFonts w:ascii="宋体" w:hAnsi="宋体"/>
              </w:rPr>
              <w:t>近5年(201</w:t>
            </w:r>
            <w:r>
              <w:rPr>
                <w:rFonts w:hint="eastAsia" w:ascii="宋体" w:hAnsi="宋体"/>
              </w:rPr>
              <w:t>2</w:t>
            </w:r>
            <w:r>
              <w:rPr>
                <w:rFonts w:ascii="宋体" w:hAnsi="宋体"/>
              </w:rPr>
              <w:t>年起)独立完成2个高速公路</w:t>
            </w:r>
            <w:r>
              <w:rPr>
                <w:rFonts w:hint="eastAsia" w:ascii="宋体" w:hAnsi="宋体"/>
              </w:rPr>
              <w:t>（新建或改扩建）</w:t>
            </w:r>
            <w:r>
              <w:rPr>
                <w:rFonts w:ascii="宋体" w:hAnsi="宋体"/>
              </w:rPr>
              <w:t>工程合同段的监理任务，且累计里程为</w:t>
            </w:r>
            <w:r>
              <w:rPr>
                <w:rFonts w:hint="eastAsia" w:ascii="宋体" w:hAnsi="宋体"/>
              </w:rPr>
              <w:t>50</w:t>
            </w:r>
            <w:r>
              <w:rPr>
                <w:rFonts w:ascii="宋体" w:hAnsi="宋体"/>
              </w:rPr>
              <w:t>公里（按双幅计）得</w:t>
            </w:r>
            <w:r>
              <w:rPr>
                <w:rFonts w:hint="eastAsia" w:ascii="宋体" w:hAnsi="宋体"/>
              </w:rPr>
              <w:t>3</w:t>
            </w:r>
            <w:r>
              <w:rPr>
                <w:rFonts w:ascii="宋体" w:hAnsi="宋体"/>
              </w:rPr>
              <w:t>.</w:t>
            </w:r>
            <w:r>
              <w:rPr>
                <w:rFonts w:hint="eastAsia" w:ascii="宋体" w:hAnsi="宋体"/>
              </w:rPr>
              <w:t>6</w:t>
            </w:r>
            <w:r>
              <w:rPr>
                <w:rFonts w:ascii="宋体" w:hAnsi="宋体"/>
              </w:rPr>
              <w:t>分，每增加1个高速公路业绩加</w:t>
            </w:r>
            <w:r>
              <w:rPr>
                <w:rFonts w:hint="eastAsia" w:ascii="宋体" w:hAnsi="宋体"/>
              </w:rPr>
              <w:t>0.4</w:t>
            </w:r>
            <w:r>
              <w:rPr>
                <w:rFonts w:ascii="宋体" w:hAnsi="宋体"/>
              </w:rPr>
              <w:t>分，最多加</w:t>
            </w:r>
            <w:r>
              <w:rPr>
                <w:rFonts w:hint="eastAsia" w:ascii="宋体" w:hAnsi="宋体"/>
              </w:rPr>
              <w:t>2</w:t>
            </w:r>
            <w:r>
              <w:rPr>
                <w:rFonts w:ascii="宋体" w:hAnsi="宋体"/>
              </w:rPr>
              <w:t>.</w:t>
            </w:r>
            <w:r>
              <w:rPr>
                <w:rFonts w:hint="eastAsia" w:ascii="宋体" w:hAnsi="宋体"/>
              </w:rPr>
              <w:t>4</w:t>
            </w:r>
            <w:r>
              <w:rPr>
                <w:rFonts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2236" w:type="dxa"/>
            <w:gridSpan w:val="2"/>
            <w:vAlign w:val="center"/>
          </w:tcPr>
          <w:p>
            <w:pPr>
              <w:snapToGrid w:val="0"/>
              <w:jc w:val="center"/>
              <w:rPr>
                <w:rFonts w:ascii="宋体" w:hAnsi="宋体"/>
              </w:rPr>
            </w:pPr>
            <w:r>
              <w:rPr>
                <w:rFonts w:ascii="宋体" w:hAnsi="宋体"/>
              </w:rPr>
              <w:t>监理服务</w:t>
            </w:r>
            <w:r>
              <w:rPr>
                <w:rFonts w:hint="eastAsia" w:ascii="宋体" w:hAnsi="宋体"/>
              </w:rPr>
              <w:t>荣誉</w:t>
            </w:r>
          </w:p>
        </w:tc>
        <w:tc>
          <w:tcPr>
            <w:tcW w:w="842" w:type="dxa"/>
            <w:vAlign w:val="center"/>
          </w:tcPr>
          <w:p>
            <w:pPr>
              <w:snapToGrid w:val="0"/>
              <w:jc w:val="center"/>
              <w:rPr>
                <w:rFonts w:ascii="宋体" w:hAnsi="宋体"/>
              </w:rPr>
            </w:pPr>
            <w:r>
              <w:rPr>
                <w:rFonts w:ascii="宋体" w:hAnsi="宋体"/>
              </w:rPr>
              <w:t>3</w:t>
            </w:r>
          </w:p>
        </w:tc>
        <w:tc>
          <w:tcPr>
            <w:tcW w:w="6279" w:type="dxa"/>
            <w:vAlign w:val="center"/>
          </w:tcPr>
          <w:p>
            <w:pPr>
              <w:snapToGrid w:val="0"/>
              <w:rPr>
                <w:rFonts w:hint="eastAsia" w:ascii="宋体" w:hAnsi="宋体"/>
              </w:rPr>
            </w:pPr>
            <w:r>
              <w:rPr>
                <w:rFonts w:ascii="宋体" w:hAnsi="宋体"/>
              </w:rPr>
              <w:t>近5年(201</w:t>
            </w:r>
            <w:r>
              <w:rPr>
                <w:rFonts w:hint="eastAsia" w:ascii="宋体" w:hAnsi="宋体"/>
              </w:rPr>
              <w:t>2</w:t>
            </w:r>
            <w:r>
              <w:rPr>
                <w:rFonts w:ascii="宋体" w:hAnsi="宋体"/>
              </w:rPr>
              <w:t>年起)</w:t>
            </w:r>
            <w:r>
              <w:rPr>
                <w:rFonts w:hint="eastAsia" w:ascii="宋体" w:hAnsi="宋体"/>
              </w:rPr>
              <w:t>所监理项目每获国家优质工程奖（金质奖、银质奖）、鲁班奖、詹天佑奖或公路交通优质工程奖荣誉1个得1分，最多得3分。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2236" w:type="dxa"/>
            <w:gridSpan w:val="2"/>
            <w:vAlign w:val="center"/>
          </w:tcPr>
          <w:p>
            <w:pPr>
              <w:snapToGrid w:val="0"/>
              <w:jc w:val="center"/>
              <w:rPr>
                <w:rFonts w:ascii="宋体" w:hAnsi="宋体"/>
              </w:rPr>
            </w:pPr>
            <w:r>
              <w:rPr>
                <w:rFonts w:ascii="宋体" w:hAnsi="宋体"/>
              </w:rPr>
              <w:t>信用评价</w:t>
            </w:r>
          </w:p>
        </w:tc>
        <w:tc>
          <w:tcPr>
            <w:tcW w:w="842" w:type="dxa"/>
            <w:vAlign w:val="center"/>
          </w:tcPr>
          <w:p>
            <w:pPr>
              <w:snapToGrid w:val="0"/>
              <w:jc w:val="center"/>
              <w:rPr>
                <w:rFonts w:ascii="宋体" w:hAnsi="宋体"/>
              </w:rPr>
            </w:pPr>
            <w:r>
              <w:rPr>
                <w:rFonts w:hint="eastAsia" w:ascii="宋体" w:hAnsi="宋体"/>
              </w:rPr>
              <w:t>3</w:t>
            </w:r>
          </w:p>
        </w:tc>
        <w:tc>
          <w:tcPr>
            <w:tcW w:w="6279" w:type="dxa"/>
            <w:vAlign w:val="center"/>
          </w:tcPr>
          <w:p>
            <w:pPr>
              <w:snapToGrid w:val="0"/>
              <w:rPr>
                <w:rFonts w:ascii="宋体" w:hAnsi="宋体"/>
              </w:rPr>
            </w:pPr>
            <w:r>
              <w:rPr>
                <w:rFonts w:ascii="宋体" w:hAnsi="宋体"/>
              </w:rPr>
              <w:t>投标人在陕西省</w:t>
            </w:r>
            <w:r>
              <w:rPr>
                <w:rFonts w:hint="eastAsia" w:ascii="宋体" w:hAnsi="宋体"/>
              </w:rPr>
              <w:t>2016年度监理单位信用评价中，AA级得2.6分，A级得2.2分，B级得1.8分，C级得0分，连续三年（2014-2016年）AA得3分；若2016年度当年无信用评价结果，应延续2015年度信用评价结果，如2015年度、2016年度均无信用评价结果，按照A级对待。</w:t>
            </w:r>
          </w:p>
        </w:tc>
      </w:tr>
    </w:tbl>
    <w:p>
      <w:pPr>
        <w:spacing w:line="312" w:lineRule="auto"/>
        <w:ind w:firstLine="560"/>
        <w:rPr>
          <w:rFonts w:hint="eastAsia" w:ascii="宋体" w:hAnsi="宋体"/>
          <w:sz w:val="24"/>
          <w:szCs w:val="24"/>
        </w:rPr>
      </w:pPr>
      <w:r>
        <w:rPr>
          <w:rFonts w:hint="eastAsia" w:ascii="宋体" w:hAnsi="宋体"/>
          <w:sz w:val="24"/>
          <w:szCs w:val="24"/>
        </w:rPr>
        <w:t>b.中心试验室标段</w:t>
      </w:r>
    </w:p>
    <w:tbl>
      <w:tblPr>
        <w:tblStyle w:val="7"/>
        <w:tblW w:w="903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1134"/>
        <w:gridCol w:w="992"/>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07" w:hRule="atLeast"/>
          <w:tblHeader/>
        </w:trPr>
        <w:tc>
          <w:tcPr>
            <w:tcW w:w="2086" w:type="dxa"/>
            <w:gridSpan w:val="2"/>
            <w:vAlign w:val="center"/>
          </w:tcPr>
          <w:p>
            <w:pPr>
              <w:snapToGrid w:val="0"/>
              <w:jc w:val="center"/>
              <w:rPr>
                <w:rFonts w:ascii="宋体" w:hAnsi="宋体"/>
              </w:rPr>
            </w:pPr>
            <w:r>
              <w:rPr>
                <w:rFonts w:ascii="宋体" w:hAnsi="宋体"/>
              </w:rPr>
              <w:t>评分因素</w:t>
            </w:r>
          </w:p>
        </w:tc>
        <w:tc>
          <w:tcPr>
            <w:tcW w:w="992" w:type="dxa"/>
            <w:vAlign w:val="center"/>
          </w:tcPr>
          <w:p>
            <w:pPr>
              <w:snapToGrid w:val="0"/>
              <w:jc w:val="center"/>
              <w:rPr>
                <w:rFonts w:ascii="宋体" w:hAnsi="宋体"/>
              </w:rPr>
            </w:pPr>
            <w:r>
              <w:rPr>
                <w:rFonts w:ascii="宋体" w:hAnsi="宋体"/>
              </w:rPr>
              <w:t>分值</w:t>
            </w:r>
          </w:p>
        </w:tc>
        <w:tc>
          <w:tcPr>
            <w:tcW w:w="5954" w:type="dxa"/>
            <w:vAlign w:val="center"/>
          </w:tcPr>
          <w:p>
            <w:pPr>
              <w:snapToGrid w:val="0"/>
              <w:jc w:val="center"/>
              <w:rPr>
                <w:rFonts w:ascii="宋体" w:hAnsi="宋体"/>
              </w:rPr>
            </w:pPr>
            <w:r>
              <w:rPr>
                <w:rFonts w:ascii="宋体" w:hAnsi="宋体"/>
              </w:rPr>
              <w:t>评分因素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4" w:hRule="atLeast"/>
        </w:trPr>
        <w:tc>
          <w:tcPr>
            <w:tcW w:w="952" w:type="dxa"/>
            <w:vAlign w:val="center"/>
          </w:tcPr>
          <w:p>
            <w:pPr>
              <w:snapToGrid w:val="0"/>
              <w:jc w:val="center"/>
              <w:rPr>
                <w:rFonts w:ascii="宋体" w:hAnsi="宋体"/>
              </w:rPr>
            </w:pPr>
            <w:r>
              <w:rPr>
                <w:rFonts w:ascii="宋体" w:hAnsi="宋体"/>
              </w:rPr>
              <w:t>监理服务业绩</w:t>
            </w:r>
          </w:p>
        </w:tc>
        <w:tc>
          <w:tcPr>
            <w:tcW w:w="1134" w:type="dxa"/>
            <w:vAlign w:val="center"/>
          </w:tcPr>
          <w:p>
            <w:pPr>
              <w:snapToGrid w:val="0"/>
              <w:jc w:val="center"/>
              <w:rPr>
                <w:rFonts w:ascii="宋体" w:hAnsi="宋体"/>
              </w:rPr>
            </w:pPr>
            <w:r>
              <w:rPr>
                <w:rFonts w:ascii="宋体" w:hAnsi="宋体"/>
              </w:rPr>
              <w:t>中心试验室</w:t>
            </w:r>
          </w:p>
        </w:tc>
        <w:tc>
          <w:tcPr>
            <w:tcW w:w="992" w:type="dxa"/>
            <w:vAlign w:val="center"/>
          </w:tcPr>
          <w:p>
            <w:pPr>
              <w:snapToGrid w:val="0"/>
              <w:jc w:val="center"/>
              <w:rPr>
                <w:rFonts w:ascii="宋体" w:hAnsi="宋体"/>
              </w:rPr>
            </w:pPr>
            <w:r>
              <w:rPr>
                <w:rFonts w:hint="eastAsia" w:ascii="宋体" w:hAnsi="宋体"/>
              </w:rPr>
              <w:t>9</w:t>
            </w:r>
          </w:p>
        </w:tc>
        <w:tc>
          <w:tcPr>
            <w:tcW w:w="5954" w:type="dxa"/>
            <w:vAlign w:val="center"/>
          </w:tcPr>
          <w:p>
            <w:pPr>
              <w:snapToGrid w:val="0"/>
              <w:rPr>
                <w:rFonts w:ascii="宋体" w:hAnsi="宋体"/>
              </w:rPr>
            </w:pPr>
            <w:r>
              <w:rPr>
                <w:rFonts w:ascii="宋体" w:hAnsi="宋体"/>
              </w:rPr>
              <w:t>近5年(201</w:t>
            </w:r>
            <w:r>
              <w:rPr>
                <w:rFonts w:hint="eastAsia" w:ascii="宋体" w:hAnsi="宋体"/>
              </w:rPr>
              <w:t>2</w:t>
            </w:r>
            <w:r>
              <w:rPr>
                <w:rFonts w:ascii="宋体" w:hAnsi="宋体"/>
              </w:rPr>
              <w:t>年起)独立完成</w:t>
            </w:r>
            <w:r>
              <w:rPr>
                <w:rFonts w:hint="eastAsia" w:ascii="宋体" w:hAnsi="宋体"/>
              </w:rPr>
              <w:t>2</w:t>
            </w:r>
            <w:r>
              <w:rPr>
                <w:rFonts w:ascii="宋体" w:hAnsi="宋体"/>
              </w:rPr>
              <w:t>个高速公路</w:t>
            </w:r>
            <w:r>
              <w:rPr>
                <w:rFonts w:hint="eastAsia" w:ascii="宋体" w:hAnsi="宋体"/>
              </w:rPr>
              <w:t>（新建或改扩建）中心试验室</w:t>
            </w:r>
            <w:r>
              <w:rPr>
                <w:rFonts w:ascii="宋体" w:hAnsi="宋体"/>
              </w:rPr>
              <w:t>合同段的试验检测任务，且累计里程为</w:t>
            </w:r>
            <w:r>
              <w:rPr>
                <w:rFonts w:hint="eastAsia" w:ascii="宋体" w:hAnsi="宋体"/>
              </w:rPr>
              <w:t>50</w:t>
            </w:r>
            <w:r>
              <w:rPr>
                <w:rFonts w:ascii="宋体" w:hAnsi="宋体"/>
              </w:rPr>
              <w:t>公里（按双幅计）得</w:t>
            </w:r>
            <w:r>
              <w:rPr>
                <w:rFonts w:hint="eastAsia" w:ascii="宋体" w:hAnsi="宋体"/>
              </w:rPr>
              <w:t>5</w:t>
            </w:r>
            <w:r>
              <w:rPr>
                <w:rFonts w:ascii="宋体" w:hAnsi="宋体"/>
              </w:rPr>
              <w:t>.</w:t>
            </w:r>
            <w:r>
              <w:rPr>
                <w:rFonts w:hint="eastAsia" w:ascii="宋体" w:hAnsi="宋体"/>
              </w:rPr>
              <w:t>4</w:t>
            </w:r>
            <w:r>
              <w:rPr>
                <w:rFonts w:ascii="宋体" w:hAnsi="宋体"/>
              </w:rPr>
              <w:t>分</w:t>
            </w:r>
            <w:r>
              <w:rPr>
                <w:rFonts w:hint="eastAsia" w:ascii="宋体" w:hAnsi="宋体"/>
              </w:rPr>
              <w:t>。</w:t>
            </w:r>
            <w:r>
              <w:rPr>
                <w:rFonts w:ascii="宋体" w:hAnsi="宋体"/>
              </w:rPr>
              <w:t>每增加1个高速公路业绩加</w:t>
            </w:r>
            <w:r>
              <w:rPr>
                <w:rFonts w:hint="eastAsia" w:ascii="宋体" w:hAnsi="宋体"/>
              </w:rPr>
              <w:t>0.9</w:t>
            </w:r>
            <w:r>
              <w:rPr>
                <w:rFonts w:ascii="宋体" w:hAnsi="宋体"/>
              </w:rPr>
              <w:t>分，最多加</w:t>
            </w:r>
            <w:r>
              <w:rPr>
                <w:rFonts w:hint="eastAsia" w:ascii="宋体" w:hAnsi="宋体"/>
              </w:rPr>
              <w:t>3</w:t>
            </w:r>
            <w:r>
              <w:rPr>
                <w:rFonts w:ascii="宋体" w:hAnsi="宋体"/>
              </w:rPr>
              <w:t>.</w:t>
            </w:r>
            <w:r>
              <w:rPr>
                <w:rFonts w:hint="eastAsia" w:ascii="宋体" w:hAnsi="宋体"/>
              </w:rPr>
              <w:t>6</w:t>
            </w:r>
            <w:r>
              <w:rPr>
                <w:rFonts w:ascii="宋体" w:hAnsi="宋体"/>
              </w:rPr>
              <w:t>分</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2086" w:type="dxa"/>
            <w:gridSpan w:val="2"/>
            <w:vAlign w:val="center"/>
          </w:tcPr>
          <w:p>
            <w:pPr>
              <w:snapToGrid w:val="0"/>
              <w:jc w:val="center"/>
              <w:rPr>
                <w:rFonts w:ascii="宋体" w:hAnsi="宋体"/>
              </w:rPr>
            </w:pPr>
            <w:r>
              <w:rPr>
                <w:rFonts w:ascii="宋体" w:hAnsi="宋体"/>
              </w:rPr>
              <w:t>信用评价</w:t>
            </w:r>
          </w:p>
        </w:tc>
        <w:tc>
          <w:tcPr>
            <w:tcW w:w="992" w:type="dxa"/>
            <w:vAlign w:val="center"/>
          </w:tcPr>
          <w:p>
            <w:pPr>
              <w:snapToGrid w:val="0"/>
              <w:jc w:val="center"/>
              <w:rPr>
                <w:rFonts w:ascii="宋体" w:hAnsi="宋体"/>
              </w:rPr>
            </w:pPr>
            <w:r>
              <w:rPr>
                <w:rFonts w:hint="eastAsia" w:ascii="宋体" w:hAnsi="宋体"/>
              </w:rPr>
              <w:t>3</w:t>
            </w:r>
          </w:p>
        </w:tc>
        <w:tc>
          <w:tcPr>
            <w:tcW w:w="5954" w:type="dxa"/>
            <w:vAlign w:val="center"/>
          </w:tcPr>
          <w:p>
            <w:pPr>
              <w:snapToGrid w:val="0"/>
              <w:rPr>
                <w:rFonts w:ascii="宋体" w:hAnsi="宋体"/>
              </w:rPr>
            </w:pPr>
            <w:r>
              <w:rPr>
                <w:rFonts w:ascii="宋体" w:hAnsi="宋体"/>
              </w:rPr>
              <w:t>投标人在</w:t>
            </w:r>
            <w:r>
              <w:rPr>
                <w:rFonts w:hint="eastAsia" w:ascii="宋体" w:hAnsi="宋体"/>
              </w:rPr>
              <w:t>交通运输部2016年度试验检测单位信用评价中，AA级得2.6分，A级得2.2分，B级得1.8分，C级得0分，连续三年（2014-2016年）AA得3分；若2016年度当年无信用评价结果，应延续2015年度信用评价结果，如2015年度、2016年度均无信用评价结果，按照A级对待。</w:t>
            </w:r>
          </w:p>
        </w:tc>
      </w:tr>
    </w:tbl>
    <w:p>
      <w:pPr>
        <w:pStyle w:val="4"/>
        <w:spacing w:before="0" w:after="0" w:line="360" w:lineRule="auto"/>
        <w:jc w:val="left"/>
        <w:rPr>
          <w:rFonts w:hint="eastAsia" w:ascii="宋体" w:hAnsi="宋体" w:cs="宋体"/>
          <w:kern w:val="0"/>
          <w:sz w:val="21"/>
          <w:szCs w:val="21"/>
        </w:rPr>
      </w:pPr>
      <w:r>
        <w:rPr>
          <w:rFonts w:hint="eastAsia" w:ascii="宋体" w:hAnsi="宋体" w:cs="宋体"/>
          <w:kern w:val="0"/>
          <w:sz w:val="21"/>
          <w:szCs w:val="21"/>
          <w:lang w:val="en-US" w:eastAsia="zh-CN"/>
        </w:rPr>
        <w:t>4</w:t>
      </w:r>
      <w:r>
        <w:rPr>
          <w:rFonts w:hint="eastAsia" w:ascii="宋体" w:hAnsi="宋体" w:cs="宋体"/>
          <w:kern w:val="0"/>
          <w:sz w:val="21"/>
          <w:szCs w:val="21"/>
        </w:rPr>
        <w:t>.</w:t>
      </w:r>
      <w:r>
        <w:rPr>
          <w:rFonts w:hint="eastAsia" w:ascii="宋体" w:hAnsi="宋体" w:cs="宋体"/>
          <w:kern w:val="0"/>
          <w:sz w:val="21"/>
          <w:szCs w:val="21"/>
          <w:lang w:val="en-US" w:eastAsia="zh-CN"/>
        </w:rPr>
        <w:t>2</w:t>
      </w:r>
      <w:r>
        <w:rPr>
          <w:rFonts w:hint="eastAsia" w:ascii="宋体" w:hAnsi="宋体" w:cs="宋体"/>
          <w:kern w:val="0"/>
          <w:sz w:val="21"/>
          <w:szCs w:val="21"/>
        </w:rPr>
        <w:t>技术评审</w:t>
      </w:r>
    </w:p>
    <w:p>
      <w:pPr>
        <w:snapToGrid w:val="0"/>
        <w:spacing w:line="360" w:lineRule="auto"/>
        <w:ind w:firstLine="420" w:firstLineChars="200"/>
        <w:rPr>
          <w:rFonts w:hint="eastAsia" w:ascii="宋体" w:hAnsi="宋体" w:cs="宋体"/>
        </w:rPr>
      </w:pPr>
      <w:r>
        <w:rPr>
          <w:rFonts w:hint="eastAsia" w:ascii="宋体" w:hAnsi="宋体" w:cs="宋体"/>
          <w:lang w:val="en-US" w:eastAsia="zh-CN"/>
        </w:rPr>
        <w:t>4</w:t>
      </w:r>
      <w:r>
        <w:rPr>
          <w:rFonts w:hint="eastAsia" w:ascii="宋体" w:hAnsi="宋体" w:cs="宋体"/>
        </w:rPr>
        <w:t>.</w:t>
      </w:r>
      <w:r>
        <w:rPr>
          <w:rFonts w:hint="eastAsia" w:ascii="宋体" w:hAnsi="宋体" w:cs="宋体"/>
          <w:lang w:val="en-US" w:eastAsia="zh-CN"/>
        </w:rPr>
        <w:t>2</w:t>
      </w:r>
      <w:r>
        <w:rPr>
          <w:rFonts w:hint="eastAsia" w:ascii="宋体" w:hAnsi="宋体" w:cs="宋体"/>
        </w:rPr>
        <w:t>.1技术评审主要内容和分值范围如下：</w:t>
      </w:r>
    </w:p>
    <w:p>
      <w:pPr>
        <w:spacing w:line="360" w:lineRule="auto"/>
        <w:ind w:firstLine="420" w:firstLineChars="200"/>
        <w:rPr>
          <w:rFonts w:hint="eastAsia" w:ascii="宋体" w:hAnsi="宋体" w:cs="宋体"/>
        </w:rPr>
      </w:pPr>
      <w:r>
        <w:rPr>
          <w:rFonts w:hint="eastAsia" w:ascii="宋体" w:hAnsi="宋体" w:cs="宋体"/>
        </w:rPr>
        <w:t>（1）监理大纲（或监理方案）和措施 20分；</w:t>
      </w:r>
    </w:p>
    <w:p>
      <w:pPr>
        <w:spacing w:line="360" w:lineRule="auto"/>
        <w:ind w:firstLine="420" w:firstLineChars="200"/>
        <w:rPr>
          <w:rFonts w:hint="eastAsia" w:ascii="宋体" w:hAnsi="宋体" w:cs="宋体"/>
        </w:rPr>
      </w:pPr>
      <w:r>
        <w:rPr>
          <w:rFonts w:hint="eastAsia" w:ascii="宋体" w:hAnsi="宋体" w:cs="宋体"/>
        </w:rPr>
        <w:t>（2）对本工程重点、难点分析 15分；</w:t>
      </w:r>
    </w:p>
    <w:p>
      <w:pPr>
        <w:spacing w:line="360" w:lineRule="auto"/>
        <w:ind w:firstLine="420" w:firstLineChars="200"/>
        <w:rPr>
          <w:rFonts w:hint="eastAsia" w:ascii="宋体" w:hAnsi="宋体" w:cs="宋体"/>
        </w:rPr>
      </w:pPr>
      <w:r>
        <w:rPr>
          <w:rFonts w:hint="eastAsia" w:ascii="宋体" w:hAnsi="宋体" w:cs="宋体"/>
        </w:rPr>
        <w:t>（3）对本工程的建议 5分。</w:t>
      </w:r>
    </w:p>
    <w:p>
      <w:pPr>
        <w:spacing w:line="360" w:lineRule="auto"/>
        <w:ind w:firstLine="420" w:firstLineChars="200"/>
        <w:rPr>
          <w:rFonts w:hint="eastAsia" w:ascii="宋体" w:hAnsi="宋体" w:cs="宋体"/>
        </w:rPr>
      </w:pPr>
      <w:r>
        <w:rPr>
          <w:rFonts w:hint="eastAsia" w:ascii="宋体" w:hAnsi="宋体" w:cs="宋体"/>
          <w:lang w:val="en-US" w:eastAsia="zh-CN"/>
        </w:rPr>
        <w:t>4</w:t>
      </w:r>
      <w:r>
        <w:rPr>
          <w:rFonts w:hint="eastAsia" w:ascii="宋体" w:hAnsi="宋体" w:cs="宋体"/>
        </w:rPr>
        <w:t>.</w:t>
      </w:r>
      <w:r>
        <w:rPr>
          <w:rFonts w:hint="eastAsia" w:ascii="宋体" w:hAnsi="宋体" w:cs="宋体"/>
          <w:lang w:val="en-US" w:eastAsia="zh-CN"/>
        </w:rPr>
        <w:t>2</w:t>
      </w:r>
      <w:r>
        <w:rPr>
          <w:rFonts w:hint="eastAsia" w:ascii="宋体" w:hAnsi="宋体" w:cs="宋体"/>
        </w:rPr>
        <w:t>.2 技术评审评分细则如下：</w:t>
      </w:r>
    </w:p>
    <w:tbl>
      <w:tblPr>
        <w:tblStyle w:val="7"/>
        <w:tblpPr w:leftFromText="180" w:rightFromText="180" w:vertAnchor="text" w:tblpXSpec="center" w:tblpY="49"/>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
      <w:tblGrid>
        <w:gridCol w:w="421"/>
        <w:gridCol w:w="1343"/>
        <w:gridCol w:w="2484"/>
        <w:gridCol w:w="50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525" w:hRule="atLeast"/>
          <w:tblHeader/>
        </w:trPr>
        <w:tc>
          <w:tcPr>
            <w:tcW w:w="421" w:type="dxa"/>
            <w:vAlign w:val="center"/>
          </w:tcPr>
          <w:p>
            <w:pPr>
              <w:pStyle w:val="5"/>
              <w:jc w:val="center"/>
              <w:rPr>
                <w:rFonts w:hAnsi="宋体"/>
                <w:lang w:val="en-US" w:eastAsia="zh-CN"/>
              </w:rPr>
            </w:pPr>
            <w:r>
              <w:rPr>
                <w:rFonts w:hAnsi="宋体"/>
                <w:lang w:val="en-US" w:eastAsia="zh-CN"/>
              </w:rPr>
              <w:t>序号</w:t>
            </w:r>
          </w:p>
        </w:tc>
        <w:tc>
          <w:tcPr>
            <w:tcW w:w="3827" w:type="dxa"/>
            <w:gridSpan w:val="2"/>
            <w:vAlign w:val="center"/>
          </w:tcPr>
          <w:p>
            <w:pPr>
              <w:pStyle w:val="5"/>
              <w:jc w:val="center"/>
              <w:rPr>
                <w:rFonts w:hAnsi="宋体"/>
                <w:lang w:val="en-US" w:eastAsia="zh-CN"/>
              </w:rPr>
            </w:pPr>
            <w:r>
              <w:rPr>
                <w:rFonts w:hAnsi="宋体"/>
                <w:lang w:val="en-US" w:eastAsia="zh-CN"/>
              </w:rPr>
              <w:t>评分项目</w:t>
            </w:r>
          </w:p>
        </w:tc>
        <w:tc>
          <w:tcPr>
            <w:tcW w:w="5040" w:type="dxa"/>
            <w:vAlign w:val="center"/>
          </w:tcPr>
          <w:p>
            <w:pPr>
              <w:pStyle w:val="5"/>
              <w:jc w:val="center"/>
              <w:rPr>
                <w:rFonts w:hAnsi="宋体"/>
                <w:lang w:val="en-US" w:eastAsia="zh-CN"/>
              </w:rPr>
            </w:pPr>
            <w:r>
              <w:rPr>
                <w:rFonts w:hAnsi="宋体"/>
                <w:lang w:val="en-US" w:eastAsia="zh-CN"/>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373" w:hRule="atLeast"/>
        </w:trPr>
        <w:tc>
          <w:tcPr>
            <w:tcW w:w="421" w:type="dxa"/>
            <w:vMerge w:val="restart"/>
            <w:vAlign w:val="center"/>
          </w:tcPr>
          <w:p>
            <w:pPr>
              <w:pStyle w:val="5"/>
              <w:jc w:val="center"/>
              <w:rPr>
                <w:rFonts w:hAnsi="宋体"/>
                <w:lang w:val="en-US" w:eastAsia="zh-CN"/>
              </w:rPr>
            </w:pPr>
            <w:r>
              <w:rPr>
                <w:rFonts w:hAnsi="宋体"/>
                <w:lang w:val="en-US" w:eastAsia="zh-CN"/>
              </w:rPr>
              <w:t>1</w:t>
            </w:r>
          </w:p>
        </w:tc>
        <w:tc>
          <w:tcPr>
            <w:tcW w:w="1343" w:type="dxa"/>
            <w:vMerge w:val="restart"/>
            <w:vAlign w:val="center"/>
          </w:tcPr>
          <w:p>
            <w:pPr>
              <w:pStyle w:val="5"/>
              <w:rPr>
                <w:rFonts w:hAnsi="宋体"/>
                <w:spacing w:val="-10"/>
                <w:lang w:val="en-US" w:eastAsia="zh-CN"/>
              </w:rPr>
            </w:pPr>
            <w:r>
              <w:rPr>
                <w:rFonts w:hAnsi="宋体"/>
                <w:lang w:val="en-US" w:eastAsia="zh-CN"/>
              </w:rPr>
              <w:t>监理工作（试验检测工作）大纲（或方案）和措施</w:t>
            </w:r>
            <w:r>
              <w:rPr>
                <w:rFonts w:hAnsi="宋体"/>
                <w:spacing w:val="-10"/>
                <w:lang w:val="en-US" w:eastAsia="zh-CN"/>
              </w:rPr>
              <w:t>(20分)</w:t>
            </w:r>
          </w:p>
        </w:tc>
        <w:tc>
          <w:tcPr>
            <w:tcW w:w="2484" w:type="dxa"/>
            <w:vMerge w:val="restart"/>
            <w:vAlign w:val="center"/>
          </w:tcPr>
          <w:p>
            <w:pPr>
              <w:rPr>
                <w:rFonts w:ascii="宋体" w:hAnsi="宋体"/>
              </w:rPr>
            </w:pPr>
            <w:r>
              <w:rPr>
                <w:rFonts w:ascii="宋体" w:hAnsi="宋体"/>
              </w:rPr>
              <w:t>对本项目监理工作（试验检测工作）范围和任务的理解(5分)</w:t>
            </w:r>
          </w:p>
        </w:tc>
        <w:tc>
          <w:tcPr>
            <w:tcW w:w="5040" w:type="dxa"/>
            <w:vAlign w:val="center"/>
          </w:tcPr>
          <w:p>
            <w:pPr>
              <w:rPr>
                <w:rFonts w:ascii="宋体" w:hAnsi="宋体"/>
              </w:rPr>
            </w:pPr>
            <w:r>
              <w:rPr>
                <w:rFonts w:ascii="宋体" w:hAnsi="宋体"/>
              </w:rPr>
              <w:t>基本符合项目需求得3分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vAlign w:val="center"/>
          </w:tcPr>
          <w:p>
            <w:pPr>
              <w:pStyle w:val="5"/>
              <w:jc w:val="center"/>
              <w:rPr>
                <w:rFonts w:hAnsi="宋体"/>
                <w:lang w:val="en-US" w:eastAsia="zh-CN"/>
              </w:rPr>
            </w:pPr>
          </w:p>
        </w:tc>
        <w:tc>
          <w:tcPr>
            <w:tcW w:w="1343" w:type="dxa"/>
            <w:vMerge w:val="continue"/>
            <w:vAlign w:val="center"/>
          </w:tcPr>
          <w:p>
            <w:pPr>
              <w:pStyle w:val="5"/>
              <w:rPr>
                <w:rFonts w:hAnsi="宋体"/>
                <w:lang w:val="en-US" w:eastAsia="zh-CN"/>
              </w:rPr>
            </w:pPr>
          </w:p>
        </w:tc>
        <w:tc>
          <w:tcPr>
            <w:tcW w:w="2484" w:type="dxa"/>
            <w:vMerge w:val="continue"/>
            <w:vAlign w:val="center"/>
          </w:tcPr>
          <w:p>
            <w:pPr>
              <w:pStyle w:val="5"/>
              <w:rPr>
                <w:rFonts w:hAnsi="宋体"/>
                <w:lang w:val="en-US" w:eastAsia="zh-CN"/>
              </w:rPr>
            </w:pPr>
          </w:p>
        </w:tc>
        <w:tc>
          <w:tcPr>
            <w:tcW w:w="5040" w:type="dxa"/>
            <w:vAlign w:val="center"/>
          </w:tcPr>
          <w:p>
            <w:pPr>
              <w:rPr>
                <w:rFonts w:ascii="宋体" w:hAnsi="宋体"/>
              </w:rPr>
            </w:pPr>
            <w:r>
              <w:rPr>
                <w:rFonts w:ascii="宋体" w:hAnsi="宋体"/>
              </w:rPr>
              <w:t>理解较准确，思路较清晰得3～4分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vAlign w:val="center"/>
          </w:tcPr>
          <w:p>
            <w:pPr>
              <w:pStyle w:val="5"/>
              <w:jc w:val="center"/>
              <w:rPr>
                <w:rFonts w:hAnsi="宋体"/>
                <w:lang w:val="en-US" w:eastAsia="zh-CN"/>
              </w:rPr>
            </w:pPr>
          </w:p>
        </w:tc>
        <w:tc>
          <w:tcPr>
            <w:tcW w:w="1343" w:type="dxa"/>
            <w:vMerge w:val="continue"/>
            <w:vAlign w:val="center"/>
          </w:tcPr>
          <w:p>
            <w:pPr>
              <w:pStyle w:val="5"/>
              <w:rPr>
                <w:rFonts w:hAnsi="宋体"/>
                <w:lang w:val="en-US" w:eastAsia="zh-CN"/>
              </w:rPr>
            </w:pPr>
          </w:p>
        </w:tc>
        <w:tc>
          <w:tcPr>
            <w:tcW w:w="2484" w:type="dxa"/>
            <w:vMerge w:val="continue"/>
            <w:vAlign w:val="center"/>
          </w:tcPr>
          <w:p>
            <w:pPr>
              <w:pStyle w:val="5"/>
              <w:rPr>
                <w:rFonts w:hAnsi="宋体"/>
                <w:lang w:val="en-US" w:eastAsia="zh-CN"/>
              </w:rPr>
            </w:pPr>
          </w:p>
        </w:tc>
        <w:tc>
          <w:tcPr>
            <w:tcW w:w="5040" w:type="dxa"/>
            <w:vAlign w:val="center"/>
          </w:tcPr>
          <w:p>
            <w:pPr>
              <w:rPr>
                <w:rFonts w:ascii="宋体" w:hAnsi="宋体"/>
              </w:rPr>
            </w:pPr>
            <w:r>
              <w:rPr>
                <w:rFonts w:ascii="宋体" w:hAnsi="宋体"/>
              </w:rPr>
              <w:t>理解准确，思路清晰，全面、合理，深入切入项目特点得4～5分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vAlign w:val="center"/>
          </w:tcPr>
          <w:p>
            <w:pPr>
              <w:pStyle w:val="5"/>
              <w:jc w:val="center"/>
              <w:rPr>
                <w:rFonts w:hAnsi="宋体"/>
                <w:lang w:val="en-US" w:eastAsia="zh-CN"/>
              </w:rPr>
            </w:pPr>
          </w:p>
        </w:tc>
        <w:tc>
          <w:tcPr>
            <w:tcW w:w="1343" w:type="dxa"/>
            <w:vMerge w:val="continue"/>
            <w:vAlign w:val="center"/>
          </w:tcPr>
          <w:p>
            <w:pPr>
              <w:rPr>
                <w:rFonts w:ascii="宋体" w:hAnsi="宋体"/>
              </w:rPr>
            </w:pPr>
          </w:p>
        </w:tc>
        <w:tc>
          <w:tcPr>
            <w:tcW w:w="2484" w:type="dxa"/>
            <w:vMerge w:val="restart"/>
            <w:vAlign w:val="center"/>
          </w:tcPr>
          <w:p>
            <w:pPr>
              <w:rPr>
                <w:rFonts w:ascii="宋体" w:hAnsi="宋体"/>
              </w:rPr>
            </w:pPr>
            <w:r>
              <w:rPr>
                <w:rFonts w:ascii="宋体" w:hAnsi="宋体"/>
              </w:rPr>
              <w:t>本项目监理工作（试验检测工作）机构设置、人员配置和职责权限</w:t>
            </w:r>
          </w:p>
          <w:p>
            <w:pPr>
              <w:rPr>
                <w:rFonts w:ascii="宋体" w:hAnsi="宋体"/>
              </w:rPr>
            </w:pPr>
            <w:r>
              <w:rPr>
                <w:rFonts w:ascii="宋体" w:hAnsi="宋体"/>
              </w:rPr>
              <w:t>(5分)</w:t>
            </w:r>
          </w:p>
        </w:tc>
        <w:tc>
          <w:tcPr>
            <w:tcW w:w="5040" w:type="dxa"/>
            <w:vAlign w:val="center"/>
          </w:tcPr>
          <w:p>
            <w:pPr>
              <w:rPr>
                <w:rFonts w:ascii="宋体" w:hAnsi="宋体"/>
              </w:rPr>
            </w:pPr>
            <w:r>
              <w:rPr>
                <w:rFonts w:ascii="宋体" w:hAnsi="宋体"/>
              </w:rPr>
              <w:t>基本符合项目需求得3分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vAlign w:val="center"/>
          </w:tcPr>
          <w:p>
            <w:pPr>
              <w:pStyle w:val="5"/>
              <w:jc w:val="center"/>
              <w:rPr>
                <w:rFonts w:hAnsi="宋体"/>
                <w:lang w:val="en-US" w:eastAsia="zh-CN"/>
              </w:rPr>
            </w:pPr>
          </w:p>
        </w:tc>
        <w:tc>
          <w:tcPr>
            <w:tcW w:w="1343" w:type="dxa"/>
            <w:vMerge w:val="continue"/>
            <w:vAlign w:val="center"/>
          </w:tcPr>
          <w:p>
            <w:pPr>
              <w:pStyle w:val="5"/>
              <w:rPr>
                <w:rFonts w:hAnsi="宋体"/>
                <w:lang w:val="en-US" w:eastAsia="zh-CN"/>
              </w:rPr>
            </w:pPr>
          </w:p>
        </w:tc>
        <w:tc>
          <w:tcPr>
            <w:tcW w:w="2484" w:type="dxa"/>
            <w:vMerge w:val="continue"/>
            <w:vAlign w:val="center"/>
          </w:tcPr>
          <w:p>
            <w:pPr>
              <w:pStyle w:val="5"/>
              <w:rPr>
                <w:rFonts w:hAnsi="宋体"/>
                <w:lang w:val="en-US" w:eastAsia="zh-CN"/>
              </w:rPr>
            </w:pPr>
          </w:p>
        </w:tc>
        <w:tc>
          <w:tcPr>
            <w:tcW w:w="5040" w:type="dxa"/>
            <w:vAlign w:val="center"/>
          </w:tcPr>
          <w:p>
            <w:pPr>
              <w:rPr>
                <w:rFonts w:ascii="宋体" w:hAnsi="宋体"/>
              </w:rPr>
            </w:pPr>
            <w:r>
              <w:rPr>
                <w:rFonts w:ascii="宋体" w:hAnsi="宋体"/>
              </w:rPr>
              <w:t>机构设置、人员配置和职责权限较为合理、能够形成体系得3～4分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vAlign w:val="center"/>
          </w:tcPr>
          <w:p>
            <w:pPr>
              <w:pStyle w:val="5"/>
              <w:jc w:val="center"/>
              <w:rPr>
                <w:rFonts w:hAnsi="宋体"/>
                <w:lang w:val="en-US" w:eastAsia="zh-CN"/>
              </w:rPr>
            </w:pPr>
          </w:p>
        </w:tc>
        <w:tc>
          <w:tcPr>
            <w:tcW w:w="1343" w:type="dxa"/>
            <w:vMerge w:val="continue"/>
            <w:vAlign w:val="center"/>
          </w:tcPr>
          <w:p>
            <w:pPr>
              <w:pStyle w:val="5"/>
              <w:rPr>
                <w:rFonts w:hAnsi="宋体"/>
                <w:lang w:val="en-US" w:eastAsia="zh-CN"/>
              </w:rPr>
            </w:pPr>
          </w:p>
        </w:tc>
        <w:tc>
          <w:tcPr>
            <w:tcW w:w="2484" w:type="dxa"/>
            <w:vMerge w:val="continue"/>
            <w:tcBorders>
              <w:bottom w:val="single" w:color="auto" w:sz="4" w:space="0"/>
            </w:tcBorders>
            <w:vAlign w:val="center"/>
          </w:tcPr>
          <w:p>
            <w:pPr>
              <w:pStyle w:val="5"/>
              <w:rPr>
                <w:rFonts w:hAnsi="宋体"/>
                <w:lang w:val="en-US" w:eastAsia="zh-CN"/>
              </w:rPr>
            </w:pPr>
          </w:p>
        </w:tc>
        <w:tc>
          <w:tcPr>
            <w:tcW w:w="5040" w:type="dxa"/>
            <w:vAlign w:val="center"/>
          </w:tcPr>
          <w:p>
            <w:pPr>
              <w:rPr>
                <w:rFonts w:ascii="宋体" w:hAnsi="宋体"/>
              </w:rPr>
            </w:pPr>
            <w:r>
              <w:rPr>
                <w:rFonts w:ascii="宋体" w:hAnsi="宋体"/>
              </w:rPr>
              <w:t>机构设置、人员配置和职责权限齐全合理、体系完善得4～5分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vAlign w:val="center"/>
          </w:tcPr>
          <w:p>
            <w:pPr>
              <w:pStyle w:val="5"/>
              <w:jc w:val="center"/>
              <w:rPr>
                <w:rFonts w:hAnsi="宋体"/>
                <w:lang w:val="en-US" w:eastAsia="zh-CN"/>
              </w:rPr>
            </w:pPr>
          </w:p>
        </w:tc>
        <w:tc>
          <w:tcPr>
            <w:tcW w:w="1343" w:type="dxa"/>
            <w:vMerge w:val="continue"/>
            <w:vAlign w:val="center"/>
          </w:tcPr>
          <w:p>
            <w:pPr>
              <w:pStyle w:val="5"/>
              <w:rPr>
                <w:rFonts w:hAnsi="宋体"/>
                <w:lang w:val="en-US" w:eastAsia="zh-CN"/>
              </w:rPr>
            </w:pPr>
          </w:p>
        </w:tc>
        <w:tc>
          <w:tcPr>
            <w:tcW w:w="2484" w:type="dxa"/>
            <w:vMerge w:val="restart"/>
            <w:vAlign w:val="center"/>
          </w:tcPr>
          <w:p>
            <w:pPr>
              <w:pStyle w:val="5"/>
              <w:rPr>
                <w:rFonts w:hAnsi="宋体"/>
                <w:lang w:val="en-US" w:eastAsia="zh-CN"/>
              </w:rPr>
            </w:pPr>
            <w:r>
              <w:rPr>
                <w:rFonts w:hAnsi="宋体"/>
                <w:lang w:val="en-US" w:eastAsia="zh-CN"/>
              </w:rPr>
              <w:t>监理工作（试验检测工作）程序、方案及措施（10分）</w:t>
            </w:r>
          </w:p>
        </w:tc>
        <w:tc>
          <w:tcPr>
            <w:tcW w:w="5040" w:type="dxa"/>
            <w:vAlign w:val="center"/>
          </w:tcPr>
          <w:p>
            <w:pPr>
              <w:rPr>
                <w:rFonts w:ascii="宋体" w:hAnsi="宋体"/>
              </w:rPr>
            </w:pPr>
            <w:r>
              <w:rPr>
                <w:rFonts w:ascii="宋体" w:hAnsi="宋体"/>
              </w:rPr>
              <w:t>基本满足项目需求得6分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vAlign w:val="center"/>
          </w:tcPr>
          <w:p>
            <w:pPr>
              <w:pStyle w:val="5"/>
              <w:jc w:val="center"/>
              <w:rPr>
                <w:rFonts w:hAnsi="宋体"/>
                <w:lang w:val="en-US" w:eastAsia="zh-CN"/>
              </w:rPr>
            </w:pPr>
          </w:p>
        </w:tc>
        <w:tc>
          <w:tcPr>
            <w:tcW w:w="1343" w:type="dxa"/>
            <w:vMerge w:val="continue"/>
            <w:vAlign w:val="center"/>
          </w:tcPr>
          <w:p>
            <w:pPr>
              <w:pStyle w:val="5"/>
              <w:rPr>
                <w:rFonts w:hAnsi="宋体"/>
                <w:lang w:val="en-US" w:eastAsia="zh-CN"/>
              </w:rPr>
            </w:pPr>
          </w:p>
        </w:tc>
        <w:tc>
          <w:tcPr>
            <w:tcW w:w="2484" w:type="dxa"/>
            <w:vMerge w:val="continue"/>
            <w:vAlign w:val="center"/>
          </w:tcPr>
          <w:p>
            <w:pPr>
              <w:pStyle w:val="5"/>
              <w:rPr>
                <w:rFonts w:hAnsi="宋体"/>
                <w:lang w:val="en-US" w:eastAsia="zh-CN"/>
              </w:rPr>
            </w:pPr>
          </w:p>
        </w:tc>
        <w:tc>
          <w:tcPr>
            <w:tcW w:w="5040" w:type="dxa"/>
            <w:vAlign w:val="center"/>
          </w:tcPr>
          <w:p>
            <w:pPr>
              <w:rPr>
                <w:rFonts w:ascii="宋体" w:hAnsi="宋体"/>
              </w:rPr>
            </w:pPr>
            <w:r>
              <w:rPr>
                <w:rFonts w:ascii="宋体" w:hAnsi="宋体"/>
              </w:rPr>
              <w:t>内容较为完善，程序和阶段划分较为合理，方案及措施具有可实施性得6～8分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tcBorders>
              <w:bottom w:val="single" w:color="auto" w:sz="4" w:space="0"/>
            </w:tcBorders>
            <w:vAlign w:val="center"/>
          </w:tcPr>
          <w:p>
            <w:pPr>
              <w:pStyle w:val="5"/>
              <w:jc w:val="center"/>
              <w:rPr>
                <w:rFonts w:hAnsi="宋体"/>
                <w:lang w:val="en-US" w:eastAsia="zh-CN"/>
              </w:rPr>
            </w:pPr>
          </w:p>
        </w:tc>
        <w:tc>
          <w:tcPr>
            <w:tcW w:w="1343" w:type="dxa"/>
            <w:vMerge w:val="continue"/>
            <w:tcBorders>
              <w:bottom w:val="single" w:color="auto" w:sz="4" w:space="0"/>
            </w:tcBorders>
            <w:vAlign w:val="center"/>
          </w:tcPr>
          <w:p>
            <w:pPr>
              <w:pStyle w:val="5"/>
              <w:rPr>
                <w:rFonts w:hAnsi="宋体"/>
                <w:lang w:val="en-US" w:eastAsia="zh-CN"/>
              </w:rPr>
            </w:pPr>
          </w:p>
        </w:tc>
        <w:tc>
          <w:tcPr>
            <w:tcW w:w="2484" w:type="dxa"/>
            <w:vMerge w:val="continue"/>
            <w:tcBorders>
              <w:bottom w:val="single" w:color="auto" w:sz="4" w:space="0"/>
            </w:tcBorders>
            <w:vAlign w:val="center"/>
          </w:tcPr>
          <w:p>
            <w:pPr>
              <w:pStyle w:val="5"/>
              <w:rPr>
                <w:rFonts w:hAnsi="宋体"/>
                <w:lang w:val="en-US" w:eastAsia="zh-CN"/>
              </w:rPr>
            </w:pPr>
          </w:p>
        </w:tc>
        <w:tc>
          <w:tcPr>
            <w:tcW w:w="5040" w:type="dxa"/>
            <w:vAlign w:val="center"/>
          </w:tcPr>
          <w:p>
            <w:pPr>
              <w:rPr>
                <w:rFonts w:ascii="宋体" w:hAnsi="宋体"/>
              </w:rPr>
            </w:pPr>
            <w:r>
              <w:rPr>
                <w:rFonts w:ascii="宋体" w:hAnsi="宋体"/>
              </w:rPr>
              <w:t>内容齐全完备，程序和阶段划分合理明确，方案及措施得力，具有较强可实施性得8～10分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726" w:hRule="atLeast"/>
        </w:trPr>
        <w:tc>
          <w:tcPr>
            <w:tcW w:w="421" w:type="dxa"/>
            <w:vMerge w:val="restart"/>
            <w:tcBorders>
              <w:top w:val="single" w:color="auto" w:sz="4" w:space="0"/>
            </w:tcBorders>
            <w:vAlign w:val="center"/>
          </w:tcPr>
          <w:p>
            <w:pPr>
              <w:pStyle w:val="5"/>
              <w:jc w:val="center"/>
              <w:rPr>
                <w:rFonts w:hAnsi="宋体"/>
                <w:lang w:val="en-US" w:eastAsia="zh-CN"/>
              </w:rPr>
            </w:pPr>
            <w:r>
              <w:rPr>
                <w:rFonts w:hAnsi="宋体"/>
                <w:lang w:val="en-US" w:eastAsia="zh-CN"/>
              </w:rPr>
              <w:t>2</w:t>
            </w:r>
          </w:p>
        </w:tc>
        <w:tc>
          <w:tcPr>
            <w:tcW w:w="3827" w:type="dxa"/>
            <w:gridSpan w:val="2"/>
            <w:vMerge w:val="restart"/>
            <w:tcBorders>
              <w:top w:val="single" w:color="auto" w:sz="4" w:space="0"/>
            </w:tcBorders>
            <w:vAlign w:val="center"/>
          </w:tcPr>
          <w:p>
            <w:pPr>
              <w:rPr>
                <w:rFonts w:ascii="宋体" w:hAnsi="宋体"/>
                <w:spacing w:val="-12"/>
              </w:rPr>
            </w:pPr>
            <w:r>
              <w:rPr>
                <w:rFonts w:ascii="宋体" w:hAnsi="宋体"/>
              </w:rPr>
              <w:t>对本工程监理工作（试验检测工作）重点、难点分析</w:t>
            </w:r>
            <w:r>
              <w:rPr>
                <w:rFonts w:ascii="宋体" w:hAnsi="宋体"/>
                <w:spacing w:val="-12"/>
              </w:rPr>
              <w:t>(15分)</w:t>
            </w:r>
          </w:p>
        </w:tc>
        <w:tc>
          <w:tcPr>
            <w:tcW w:w="5040" w:type="dxa"/>
            <w:vAlign w:val="center"/>
          </w:tcPr>
          <w:p>
            <w:pPr>
              <w:rPr>
                <w:rFonts w:ascii="宋体" w:hAnsi="宋体"/>
              </w:rPr>
            </w:pPr>
            <w:r>
              <w:rPr>
                <w:rFonts w:ascii="宋体" w:hAnsi="宋体"/>
              </w:rPr>
              <w:t>分析一般，对难点、重点把握一般；采取的措施基本满足项目需求得9分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vAlign w:val="center"/>
          </w:tcPr>
          <w:p>
            <w:pPr>
              <w:pStyle w:val="5"/>
              <w:jc w:val="center"/>
              <w:rPr>
                <w:rFonts w:hAnsi="宋体"/>
                <w:lang w:val="en-US" w:eastAsia="zh-CN"/>
              </w:rPr>
            </w:pPr>
          </w:p>
        </w:tc>
        <w:tc>
          <w:tcPr>
            <w:tcW w:w="3827" w:type="dxa"/>
            <w:gridSpan w:val="2"/>
            <w:vMerge w:val="continue"/>
            <w:vAlign w:val="center"/>
          </w:tcPr>
          <w:p>
            <w:pPr>
              <w:pStyle w:val="5"/>
              <w:rPr>
                <w:rFonts w:hAnsi="宋体"/>
                <w:lang w:val="en-US" w:eastAsia="zh-CN"/>
              </w:rPr>
            </w:pPr>
          </w:p>
        </w:tc>
        <w:tc>
          <w:tcPr>
            <w:tcW w:w="5040" w:type="dxa"/>
            <w:vAlign w:val="center"/>
          </w:tcPr>
          <w:p>
            <w:pPr>
              <w:rPr>
                <w:rFonts w:ascii="宋体" w:hAnsi="宋体"/>
              </w:rPr>
            </w:pPr>
            <w:r>
              <w:rPr>
                <w:rFonts w:ascii="宋体" w:hAnsi="宋体"/>
              </w:rPr>
              <w:t>分析较好，对难点、重点把握较准确；采取的措施较为合理可行得9～12分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tcBorders>
              <w:bottom w:val="single" w:color="auto" w:sz="4" w:space="0"/>
            </w:tcBorders>
            <w:vAlign w:val="center"/>
          </w:tcPr>
          <w:p>
            <w:pPr>
              <w:pStyle w:val="5"/>
              <w:jc w:val="center"/>
              <w:rPr>
                <w:rFonts w:hAnsi="宋体"/>
                <w:lang w:val="en-US" w:eastAsia="zh-CN"/>
              </w:rPr>
            </w:pPr>
          </w:p>
        </w:tc>
        <w:tc>
          <w:tcPr>
            <w:tcW w:w="3827" w:type="dxa"/>
            <w:gridSpan w:val="2"/>
            <w:vMerge w:val="continue"/>
            <w:tcBorders>
              <w:bottom w:val="single" w:color="auto" w:sz="4" w:space="0"/>
            </w:tcBorders>
            <w:vAlign w:val="center"/>
          </w:tcPr>
          <w:p>
            <w:pPr>
              <w:pStyle w:val="5"/>
              <w:rPr>
                <w:rFonts w:hAnsi="宋体"/>
                <w:lang w:val="en-US" w:eastAsia="zh-CN"/>
              </w:rPr>
            </w:pPr>
          </w:p>
        </w:tc>
        <w:tc>
          <w:tcPr>
            <w:tcW w:w="5040" w:type="dxa"/>
            <w:vAlign w:val="center"/>
          </w:tcPr>
          <w:p>
            <w:pPr>
              <w:rPr>
                <w:rFonts w:ascii="宋体" w:hAnsi="宋体"/>
              </w:rPr>
            </w:pPr>
            <w:r>
              <w:rPr>
                <w:rFonts w:ascii="宋体" w:hAnsi="宋体"/>
              </w:rPr>
              <w:t>分析全面透彻，对难点、重点把握准确突出；采取的措施科学合理，针对性较强得12～15分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383" w:hRule="atLeast"/>
        </w:trPr>
        <w:tc>
          <w:tcPr>
            <w:tcW w:w="421" w:type="dxa"/>
            <w:vMerge w:val="restart"/>
            <w:tcBorders>
              <w:top w:val="single" w:color="auto" w:sz="4" w:space="0"/>
            </w:tcBorders>
            <w:vAlign w:val="center"/>
          </w:tcPr>
          <w:p>
            <w:pPr>
              <w:pStyle w:val="5"/>
              <w:jc w:val="center"/>
              <w:rPr>
                <w:rFonts w:hAnsi="宋体"/>
                <w:lang w:val="en-US" w:eastAsia="zh-CN"/>
              </w:rPr>
            </w:pPr>
            <w:r>
              <w:rPr>
                <w:rFonts w:hAnsi="宋体"/>
                <w:lang w:val="en-US" w:eastAsia="zh-CN"/>
              </w:rPr>
              <w:t>3</w:t>
            </w:r>
          </w:p>
        </w:tc>
        <w:tc>
          <w:tcPr>
            <w:tcW w:w="3827" w:type="dxa"/>
            <w:gridSpan w:val="2"/>
            <w:vMerge w:val="restart"/>
            <w:tcBorders>
              <w:top w:val="single" w:color="auto" w:sz="4" w:space="0"/>
            </w:tcBorders>
            <w:vAlign w:val="center"/>
          </w:tcPr>
          <w:p>
            <w:pPr>
              <w:rPr>
                <w:rFonts w:ascii="宋体" w:hAnsi="宋体"/>
              </w:rPr>
            </w:pPr>
            <w:r>
              <w:rPr>
                <w:rFonts w:ascii="宋体" w:hAnsi="宋体"/>
              </w:rPr>
              <w:t>对本工程监理工作（试验检测工作）的建议(5分)</w:t>
            </w:r>
          </w:p>
        </w:tc>
        <w:tc>
          <w:tcPr>
            <w:tcW w:w="5040" w:type="dxa"/>
            <w:vAlign w:val="center"/>
          </w:tcPr>
          <w:p>
            <w:pPr>
              <w:rPr>
                <w:rFonts w:ascii="宋体" w:hAnsi="宋体"/>
              </w:rPr>
            </w:pPr>
            <w:r>
              <w:rPr>
                <w:rFonts w:ascii="宋体" w:hAnsi="宋体"/>
              </w:rPr>
              <w:t>建议一般，基本满足项目需求得3分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vAlign w:val="center"/>
          </w:tcPr>
          <w:p>
            <w:pPr>
              <w:pStyle w:val="5"/>
              <w:jc w:val="center"/>
              <w:rPr>
                <w:rFonts w:hAnsi="宋体"/>
                <w:lang w:val="en-US" w:eastAsia="zh-CN"/>
              </w:rPr>
            </w:pPr>
          </w:p>
        </w:tc>
        <w:tc>
          <w:tcPr>
            <w:tcW w:w="3827" w:type="dxa"/>
            <w:gridSpan w:val="2"/>
            <w:vMerge w:val="continue"/>
            <w:vAlign w:val="center"/>
          </w:tcPr>
          <w:p>
            <w:pPr>
              <w:pStyle w:val="5"/>
              <w:rPr>
                <w:rFonts w:hAnsi="宋体"/>
                <w:lang w:val="en-US" w:eastAsia="zh-CN"/>
              </w:rPr>
            </w:pPr>
          </w:p>
        </w:tc>
        <w:tc>
          <w:tcPr>
            <w:tcW w:w="5040" w:type="dxa"/>
            <w:vAlign w:val="center"/>
          </w:tcPr>
          <w:p>
            <w:pPr>
              <w:rPr>
                <w:rFonts w:ascii="宋体" w:hAnsi="宋体"/>
              </w:rPr>
            </w:pPr>
            <w:r>
              <w:rPr>
                <w:rFonts w:ascii="宋体" w:hAnsi="宋体"/>
              </w:rPr>
              <w:t>建议较为合理，具有可实施性得3～4分</w:t>
            </w:r>
            <w:r>
              <w:rPr>
                <w:rFonts w:hint="eastAsia" w:ascii="宋体" w:hAnsi="宋体"/>
              </w:rPr>
              <w:t>，缺项不得分。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Ex>
        <w:trPr>
          <w:trHeight w:val="145" w:hRule="atLeast"/>
        </w:trPr>
        <w:tc>
          <w:tcPr>
            <w:tcW w:w="421" w:type="dxa"/>
            <w:vMerge w:val="continue"/>
            <w:vAlign w:val="center"/>
          </w:tcPr>
          <w:p>
            <w:pPr>
              <w:pStyle w:val="5"/>
              <w:jc w:val="center"/>
              <w:rPr>
                <w:rFonts w:hAnsi="宋体"/>
                <w:lang w:val="en-US" w:eastAsia="zh-CN"/>
              </w:rPr>
            </w:pPr>
          </w:p>
        </w:tc>
        <w:tc>
          <w:tcPr>
            <w:tcW w:w="3827" w:type="dxa"/>
            <w:gridSpan w:val="2"/>
            <w:vMerge w:val="continue"/>
            <w:vAlign w:val="center"/>
          </w:tcPr>
          <w:p>
            <w:pPr>
              <w:pStyle w:val="5"/>
              <w:rPr>
                <w:rFonts w:hAnsi="宋体"/>
                <w:lang w:val="en-US" w:eastAsia="zh-CN"/>
              </w:rPr>
            </w:pPr>
          </w:p>
        </w:tc>
        <w:tc>
          <w:tcPr>
            <w:tcW w:w="5040" w:type="dxa"/>
            <w:vAlign w:val="center"/>
          </w:tcPr>
          <w:p>
            <w:pPr>
              <w:rPr>
                <w:rFonts w:ascii="宋体" w:hAnsi="宋体"/>
              </w:rPr>
            </w:pPr>
            <w:r>
              <w:rPr>
                <w:rFonts w:ascii="宋体" w:hAnsi="宋体"/>
              </w:rPr>
              <w:t>建议合理准确、全面具体，具有较强的可实施性得4～5分</w:t>
            </w:r>
            <w:r>
              <w:rPr>
                <w:rFonts w:hint="eastAsia" w:ascii="宋体" w:hAnsi="宋体"/>
              </w:rPr>
              <w:t>，缺项不得分。</w:t>
            </w:r>
          </w:p>
        </w:tc>
      </w:tr>
    </w:tbl>
    <w:p>
      <w:pPr>
        <w:pStyle w:val="4"/>
        <w:spacing w:before="0" w:after="0" w:line="360" w:lineRule="auto"/>
        <w:jc w:val="left"/>
        <w:rPr>
          <w:rFonts w:hint="eastAsia"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w:t>
      </w:r>
      <w:r>
        <w:rPr>
          <w:rFonts w:hint="eastAsia" w:ascii="宋体" w:hAnsi="宋体" w:cs="宋体"/>
          <w:kern w:val="0"/>
          <w:sz w:val="24"/>
          <w:szCs w:val="24"/>
          <w:lang w:val="en-US" w:eastAsia="zh-CN"/>
        </w:rPr>
        <w:t>3</w:t>
      </w:r>
      <w:r>
        <w:rPr>
          <w:rFonts w:hint="eastAsia" w:ascii="宋体" w:hAnsi="宋体" w:cs="宋体"/>
          <w:kern w:val="0"/>
          <w:sz w:val="24"/>
          <w:szCs w:val="24"/>
        </w:rPr>
        <w:t>财务评审</w:t>
      </w:r>
    </w:p>
    <w:p>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评标委员会完成对投标人的商务文件和技术建议书的评审后，对投标人的财务建议书进行评审，只有通过前述初步评审、详细评审的投标人才能进入财务评审。</w:t>
      </w:r>
    </w:p>
    <w:p>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.1投标人通过财务建议书初步评审的主要条件：</w:t>
      </w:r>
    </w:p>
    <w:p>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财务建议书按招标文件规定签字、盖章齐全。投标文件不符合的，属于重大偏差，作为废标处理。</w:t>
      </w:r>
    </w:p>
    <w:p>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.2算术性修正</w:t>
      </w:r>
    </w:p>
    <w:p>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评标委员会对通过初步评审的投标人的报价按下列原则进行算术性修正：</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（1）当以数字表示的金额与文字表示的金额有差异时，以文字表示的金额为准；</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（2）当各细目的合价累计不等于总价时，以总价为准，修正各细目合价；</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（3）当单价与数量相乘不等于合价或单价有明显的小数点位置差错时，均以标出的合价为准，同时对单价予以修正；</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（4）当施工监理服务收费计费额、监理服务费基价、监理服务费基准价计算错误时，按正确的数额或系数修正，当监理服务费计算错误时，按填报的浮动幅度值修正；</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按以上原则对差错的修正，应取得投标人的书面同意。如果投标人拒绝，则投标文件将按废标处理，并没收其投标担保。</w:t>
      </w:r>
    </w:p>
    <w:p>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.3计算评标基准价</w:t>
      </w:r>
    </w:p>
    <w:p>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（1）评标价Di：</w:t>
      </w:r>
    </w:p>
    <w:p>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Di=投标函文字报价</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（2）有效评标价：除开标现场被宣布为废标的投标人的评标价之外，剩余所有投标人的评标价均为有效评标价。</w:t>
      </w:r>
    </w:p>
    <w:p>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（3）评标基准价P计算方法 ：</w:t>
      </w:r>
    </w:p>
    <w:p>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评标价去掉n</w:t>
      </w:r>
      <w:r>
        <w:rPr>
          <w:rFonts w:hint="eastAsia" w:ascii="宋体" w:hAnsi="宋体" w:cs="宋体"/>
          <w:sz w:val="11"/>
          <w:szCs w:val="11"/>
        </w:rPr>
        <w:t>1</w:t>
      </w:r>
      <w:r>
        <w:rPr>
          <w:rFonts w:hint="eastAsia" w:ascii="宋体" w:hAnsi="宋体" w:cs="宋体"/>
          <w:sz w:val="24"/>
          <w:szCs w:val="24"/>
        </w:rPr>
        <w:t>个最高评标价和n</w:t>
      </w:r>
      <w:r>
        <w:rPr>
          <w:rFonts w:hint="eastAsia" w:ascii="宋体" w:hAnsi="宋体" w:cs="宋体"/>
          <w:sz w:val="11"/>
          <w:szCs w:val="11"/>
        </w:rPr>
        <w:t>2</w:t>
      </w:r>
      <w:r>
        <w:rPr>
          <w:rFonts w:hint="eastAsia" w:ascii="宋体" w:hAnsi="宋体" w:cs="宋体"/>
          <w:sz w:val="24"/>
          <w:szCs w:val="24"/>
        </w:rPr>
        <w:t>个最低评标价后平均值直接作为评标基准价P。</w:t>
      </w:r>
    </w:p>
    <w:p>
      <w:pPr>
        <w:adjustRightInd w:val="0"/>
        <w:snapToGrid w:val="0"/>
        <w:spacing w:line="360" w:lineRule="auto"/>
        <w:ind w:firstLine="1440" w:firstLineChars="600"/>
        <w:rPr>
          <w:rFonts w:hint="eastAsia" w:ascii="宋体" w:hAnsi="宋体" w:cs="宋体"/>
          <w:sz w:val="24"/>
          <w:szCs w:val="24"/>
        </w:rPr>
      </w:pPr>
      <w:r>
        <w:rPr>
          <w:rFonts w:hint="eastAsia" w:ascii="宋体" w:hAnsi="宋体" w:eastAsia="宋体" w:cs="宋体"/>
          <w:kern w:val="2"/>
          <w:sz w:val="24"/>
          <w:szCs w:val="24"/>
          <w:lang w:val="en-US" w:eastAsia="zh-CN" w:bidi="ar-SA"/>
        </w:rPr>
        <w:object>
          <v:shape id="Picture 1" type="#_x0000_t75" style="height:39.55pt;width:189.4pt;rotation:0f;" o:ole="t"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o:OLEObject Type="Embed" ProgID="" ShapeID="Picture 1" DrawAspect="Content" ObjectID="_1" r:id="rId5"/>
        </w:object>
      </w:r>
    </w:p>
    <w:p>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式中:N为有效评标价的个数；</w:t>
      </w:r>
    </w:p>
    <w:p>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n</w:t>
      </w:r>
      <w:r>
        <w:rPr>
          <w:rFonts w:hint="eastAsia" w:ascii="宋体" w:hAnsi="宋体" w:cs="宋体"/>
          <w:sz w:val="11"/>
          <w:szCs w:val="11"/>
        </w:rPr>
        <w:t>1</w:t>
      </w:r>
      <w:r>
        <w:rPr>
          <w:rFonts w:hint="eastAsia" w:ascii="宋体" w:hAnsi="宋体" w:cs="宋体"/>
          <w:sz w:val="24"/>
          <w:szCs w:val="24"/>
        </w:rPr>
        <w:t>、n</w:t>
      </w:r>
      <w:r>
        <w:rPr>
          <w:rFonts w:hint="eastAsia" w:ascii="宋体" w:hAnsi="宋体" w:cs="宋体"/>
          <w:sz w:val="11"/>
          <w:szCs w:val="11"/>
        </w:rPr>
        <w:t>2</w:t>
      </w:r>
      <w:r>
        <w:rPr>
          <w:rFonts w:hint="eastAsia" w:ascii="宋体" w:hAnsi="宋体" w:cs="宋体"/>
          <w:sz w:val="24"/>
          <w:szCs w:val="24"/>
        </w:rPr>
        <w:t>的取值：</w:t>
      </w:r>
    </w:p>
    <w:p>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当N&lt;6时，n</w:t>
      </w:r>
      <w:r>
        <w:rPr>
          <w:rFonts w:hint="eastAsia" w:ascii="宋体" w:hAnsi="宋体" w:cs="宋体"/>
          <w:sz w:val="11"/>
          <w:szCs w:val="11"/>
        </w:rPr>
        <w:t>1</w:t>
      </w:r>
      <w:r>
        <w:rPr>
          <w:rFonts w:hint="eastAsia" w:ascii="宋体" w:hAnsi="宋体" w:cs="宋体"/>
          <w:sz w:val="24"/>
          <w:szCs w:val="24"/>
        </w:rPr>
        <w:t>、n</w:t>
      </w:r>
      <w:r>
        <w:rPr>
          <w:rFonts w:hint="eastAsia" w:ascii="宋体" w:hAnsi="宋体" w:cs="宋体"/>
          <w:sz w:val="11"/>
          <w:szCs w:val="11"/>
        </w:rPr>
        <w:t>2</w:t>
      </w:r>
      <w:r>
        <w:rPr>
          <w:rFonts w:hint="eastAsia" w:ascii="宋体" w:hAnsi="宋体" w:cs="宋体"/>
          <w:sz w:val="24"/>
          <w:szCs w:val="24"/>
        </w:rPr>
        <w:t>均取0；</w:t>
      </w:r>
    </w:p>
    <w:p>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当N≥6时，n</w:t>
      </w:r>
      <w:r>
        <w:rPr>
          <w:rFonts w:hint="eastAsia" w:ascii="宋体" w:hAnsi="宋体" w:cs="宋体"/>
          <w:sz w:val="11"/>
          <w:szCs w:val="11"/>
        </w:rPr>
        <w:t>1</w:t>
      </w:r>
      <w:r>
        <w:rPr>
          <w:rFonts w:hint="eastAsia" w:ascii="宋体" w:hAnsi="宋体" w:cs="宋体"/>
          <w:sz w:val="24"/>
          <w:szCs w:val="24"/>
        </w:rPr>
        <w:t>在取值区间1～M-1中随机抽取（最小为1），n</w:t>
      </w:r>
      <w:r>
        <w:rPr>
          <w:rFonts w:hint="eastAsia" w:ascii="宋体" w:hAnsi="宋体" w:cs="宋体"/>
          <w:sz w:val="11"/>
          <w:szCs w:val="11"/>
        </w:rPr>
        <w:t>2</w:t>
      </w:r>
      <w:r>
        <w:rPr>
          <w:rFonts w:hint="eastAsia" w:ascii="宋体" w:hAnsi="宋体" w:cs="宋体"/>
          <w:sz w:val="24"/>
          <w:szCs w:val="24"/>
        </w:rPr>
        <w:t>在取值区间1～M+1中随机抽取， M=N/4，M去尾取整。</w:t>
      </w:r>
    </w:p>
    <w:p>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.4计算财务得分（10分）</w:t>
      </w:r>
    </w:p>
    <w:p>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当投标人的评标价等于评标基准价时得满分，每高于评标基准价一个百分点扣0.5分，每低于评标基准价一个百分点扣0.25分，中间值按比例内插，四舍五入，保留两位小数。</w:t>
      </w:r>
    </w:p>
    <w:p>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用公式表示如下：</w:t>
      </w:r>
    </w:p>
    <w:p>
      <w:pPr>
        <w:spacing w:line="360" w:lineRule="auto"/>
        <w:ind w:firstLine="2343" w:firstLineChars="1028"/>
        <w:rPr>
          <w:rFonts w:hint="eastAsia" w:ascii="宋体" w:hAnsi="宋体" w:cs="宋体"/>
          <w:spacing w:val="-6"/>
          <w:sz w:val="24"/>
          <w:szCs w:val="24"/>
        </w:rPr>
      </w:pPr>
      <w:r>
        <w:rPr>
          <w:rFonts w:hint="eastAsia" w:ascii="宋体" w:hAnsi="宋体" w:eastAsia="宋体" w:cs="宋体"/>
          <w:spacing w:val="-6"/>
          <w:kern w:val="2"/>
          <w:sz w:val="24"/>
          <w:szCs w:val="24"/>
          <w:lang w:val="en-US" w:eastAsia="zh-CN" w:bidi="ar-SA"/>
        </w:rPr>
        <w:pict>
          <v:group id="画布 11" o:spid="_x0000_s1027" style="height:40.7pt;width:138.5pt;rotation:0f;" coordorigin="0,0" coordsize="2770,814">
            <o:lock v:ext="edit" position="f" selection="f" grouping="f" rotation="f" cropping="f"/>
            <v:shape id="Picture 10" o:spid="_x0000_s1028" type="#_x0000_t75" style="position:absolute;left:0;top:0;height:814;width:2770;rotation:0f;" o:ole="f" fillcolor="#FFFFFF" filled="f" o:preferrelative="t" stroked="f" coordorigin="0,0" coordsize="21600,21600">
              <v:fill on="f" color2="#FFFFFF" focus="0%"/>
              <v:imagedata gain="65536f" blacklevel="0f" gamma="0"/>
              <o:lock v:ext="edit" position="f" selection="f" grouping="f" rotation="f" cropping="f" text="t" aspectratio="t"/>
            </v:shape>
            <v:line id="直线 12" o:spid="_x0000_s1029" style="position:absolute;left:886;top:335;height:0;width:921;rotation:0f;" o:ole="f" fillcolor="#FFFFFF" filled="f" o:preferrelative="t" stroked="t" coordsize="21600,21600">
              <v:fill on="f" color2="#FFFFFF" focus="0%"/>
              <v:stroke weight="0.5pt" color="#000000" color2="#FFFFFF" miterlimit="2"/>
              <v:imagedata gain="65536f" blacklevel="0f" gamma="0"/>
              <o:lock v:ext="edit" position="f" selection="f" grouping="f" rotation="f" cropping="f" text="f" aspectratio="f"/>
            </v:line>
            <v:rect id="矩形 13" o:spid="_x0000_s1030" style="position:absolute;left:2561;top:184;height:320;width:152;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i/>
                        <w:iCs/>
                        <w:color w:val="000000"/>
                        <w:sz w:val="24"/>
                        <w:szCs w:val="24"/>
                      </w:rPr>
                      <w:t>E</w:t>
                    </w:r>
                  </w:p>
                </w:txbxContent>
              </v:textbox>
            </v:rect>
            <v:rect id="矩形 14" o:spid="_x0000_s1031" style="position:absolute;left:1264;top:368;height:320;width:150;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rPr>
                        <w:rFonts w:hint="eastAsia"/>
                      </w:rPr>
                    </w:pPr>
                    <w:r>
                      <w:rPr>
                        <w:rFonts w:hint="eastAsia"/>
                        <w:i/>
                        <w:iCs/>
                        <w:color w:val="000000"/>
                        <w:sz w:val="24"/>
                        <w:szCs w:val="24"/>
                      </w:rPr>
                      <w:t>P</w:t>
                    </w:r>
                  </w:p>
                </w:txbxContent>
              </v:textbox>
            </v:rect>
            <v:rect id="矩形 15" o:spid="_x0000_s1032" style="position:absolute;left:1506;top:29;height:320;width:150;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rPr>
                        <w:rFonts w:hint="eastAsia"/>
                      </w:rPr>
                    </w:pPr>
                    <w:r>
                      <w:rPr>
                        <w:rFonts w:hint="eastAsia"/>
                        <w:i/>
                        <w:iCs/>
                        <w:color w:val="000000"/>
                        <w:sz w:val="24"/>
                        <w:szCs w:val="24"/>
                      </w:rPr>
                      <w:t>P</w:t>
                    </w:r>
                  </w:p>
                </w:txbxContent>
              </v:textbox>
            </v:rect>
            <v:rect id="矩形 16" o:spid="_x0000_s1033" style="position:absolute;left:1021;top:29;height:320;width:174;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i/>
                        <w:iCs/>
                        <w:color w:val="000000"/>
                        <w:sz w:val="24"/>
                        <w:szCs w:val="24"/>
                      </w:rPr>
                      <w:t>D</w:t>
                    </w:r>
                  </w:p>
                </w:txbxContent>
              </v:textbox>
            </v:rect>
            <v:rect id="矩形 17" o:spid="_x0000_s1034" style="position:absolute;left:486;top:184;height:320;width:146;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i/>
                        <w:iCs/>
                        <w:color w:val="000000"/>
                        <w:sz w:val="24"/>
                        <w:szCs w:val="24"/>
                      </w:rPr>
                      <w:t>F</w:t>
                    </w:r>
                  </w:p>
                </w:txbxContent>
              </v:textbox>
            </v:rect>
            <v:rect id="矩形 18" o:spid="_x0000_s1035" style="position:absolute;left:44;top:184;height:320;width:146;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i/>
                        <w:iCs/>
                        <w:color w:val="000000"/>
                        <w:sz w:val="24"/>
                        <w:szCs w:val="24"/>
                      </w:rPr>
                      <w:t>F</w:t>
                    </w:r>
                  </w:p>
                </w:txbxContent>
              </v:textbox>
            </v:rect>
            <v:rect id="矩形 19" o:spid="_x0000_s1036" style="position:absolute;left:2382;top:157;height:320;width:132;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rFonts w:ascii="Symbol" w:hAnsi="Symbol" w:cs="Symbol"/>
                        <w:color w:val="000000"/>
                        <w:sz w:val="24"/>
                        <w:szCs w:val="24"/>
                      </w:rPr>
                      <w:t></w:t>
                    </w:r>
                  </w:p>
                </w:txbxContent>
              </v:textbox>
            </v:rect>
            <v:rect id="矩形 20" o:spid="_x0000_s1037" style="position:absolute;left:1848;top:157;height:320;width:132;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rFonts w:ascii="Symbol" w:hAnsi="Symbol" w:cs="Symbol"/>
                        <w:color w:val="000000"/>
                        <w:sz w:val="24"/>
                        <w:szCs w:val="24"/>
                      </w:rPr>
                      <w:t></w:t>
                    </w:r>
                  </w:p>
                </w:txbxContent>
              </v:textbox>
            </v:rect>
            <v:rect id="矩形 21" o:spid="_x0000_s1038" style="position:absolute;left:1320;top:2;height:320;width:132;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rFonts w:ascii="Symbol" w:hAnsi="Symbol" w:cs="Symbol"/>
                        <w:color w:val="000000"/>
                        <w:sz w:val="24"/>
                        <w:szCs w:val="24"/>
                      </w:rPr>
                      <w:t></w:t>
                    </w:r>
                  </w:p>
                </w:txbxContent>
              </v:textbox>
            </v:rect>
            <v:rect id="矩形 22" o:spid="_x0000_s1039" style="position:absolute;left:702;top:157;height:320;width:132;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rFonts w:ascii="Symbol" w:hAnsi="Symbol" w:cs="Symbol"/>
                        <w:color w:val="000000"/>
                        <w:sz w:val="24"/>
                        <w:szCs w:val="24"/>
                      </w:rPr>
                      <w:t></w:t>
                    </w:r>
                  </w:p>
                </w:txbxContent>
              </v:textbox>
            </v:rect>
            <v:rect id="矩形 23" o:spid="_x0000_s1040" style="position:absolute;left:284;top:157;height:320;width:132;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rFonts w:ascii="Symbol" w:hAnsi="Symbol" w:cs="Symbol"/>
                        <w:color w:val="000000"/>
                        <w:sz w:val="24"/>
                        <w:szCs w:val="24"/>
                      </w:rPr>
                      <w:t></w:t>
                    </w:r>
                  </w:p>
                </w:txbxContent>
              </v:textbox>
            </v:rect>
            <v:rect id="矩形 24" o:spid="_x0000_s1041" style="position:absolute;left:1993;top:184;height:320;width:361;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color w:val="000000"/>
                        <w:sz w:val="24"/>
                        <w:szCs w:val="24"/>
                      </w:rPr>
                      <w:t>100</w:t>
                    </w:r>
                  </w:p>
                </w:txbxContent>
              </v:textbox>
            </v:rect>
            <v:rect id="矩形 25" o:spid="_x0000_s1042" style="position:absolute;left:1719;top:29;height:320;width:67;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color w:val="000000"/>
                        <w:sz w:val="24"/>
                        <w:szCs w:val="24"/>
                      </w:rPr>
                      <w:t>/</w:t>
                    </w:r>
                  </w:p>
                </w:txbxContent>
              </v:textbox>
            </v:rect>
            <v:rect id="矩形 26" o:spid="_x0000_s1043" style="position:absolute;left:905;top:29;height:320;width:67;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r>
                      <w:rPr>
                        <w:color w:val="000000"/>
                        <w:sz w:val="24"/>
                        <w:szCs w:val="24"/>
                      </w:rPr>
                      <w:t>/</w:t>
                    </w:r>
                  </w:p>
                </w:txbxContent>
              </v:textbox>
            </v:rect>
            <v:rect id="矩形 27" o:spid="_x0000_s1044" style="position:absolute;left:1260;top:0;height:468;width:105;rotation:0f;" o:ole="f" fillcolor="#FFFFFF" filled="f" o:preferrelative="t" stroked="f" coordsize="21600,21600">
              <v:fill on="f" color2="#FFFFFF" focus="0%"/>
              <v:imagedata gain="65536f" blacklevel="0f" gamma="0"/>
              <o:lock v:ext="edit" position="f" selection="f" grouping="f" rotation="f" cropping="f" text="f" aspectratio="f"/>
              <v:textbox inset="0.00pt,0.00pt,0.00pt,0.00pt">
                <w:txbxContent>
                  <w:p>
                    <w:r>
                      <w:rPr>
                        <w:rFonts w:hint="eastAsia"/>
                        <w:color w:val="000000"/>
                        <w:sz w:val="14"/>
                        <w:szCs w:val="14"/>
                      </w:rPr>
                      <w:t>i</w:t>
                    </w:r>
                  </w:p>
                </w:txbxContent>
              </v:textbox>
            </v:rect>
            <v:rect id="矩形 28" o:spid="_x0000_s1045" style="position:absolute;left:210;top:312;height:320;width:39;mso-wrap-style:none;rotation:0f;"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rPr>
                        <w:rFonts w:hint="eastAsia"/>
                      </w:rPr>
                    </w:pPr>
                    <w:r>
                      <w:rPr>
                        <w:rFonts w:hint="eastAsia"/>
                        <w:color w:val="000000"/>
                        <w:sz w:val="14"/>
                        <w:szCs w:val="14"/>
                      </w:rPr>
                      <w:t>i</w:t>
                    </w:r>
                  </w:p>
                </w:txbxContent>
              </v:textbox>
            </v:rect>
            <w10:wrap type="none"/>
            <w10:anchorlock/>
          </v:group>
        </w:pic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式中：</w:t>
      </w:r>
      <w:r>
        <w:rPr>
          <w:rFonts w:hint="eastAsia" w:ascii="宋体" w:hAnsi="宋体" w:cs="宋体"/>
          <w:i/>
          <w:iCs/>
          <w:sz w:val="24"/>
          <w:szCs w:val="24"/>
        </w:rPr>
        <w:t>F</w:t>
      </w:r>
      <w:r>
        <w:rPr>
          <w:rFonts w:hint="eastAsia" w:ascii="宋体" w:hAnsi="宋体" w:cs="宋体"/>
          <w:sz w:val="24"/>
          <w:szCs w:val="24"/>
          <w:vertAlign w:val="subscript"/>
        </w:rPr>
        <w:t xml:space="preserve">i </w:t>
      </w:r>
      <w:r>
        <w:rPr>
          <w:rFonts w:hint="eastAsia" w:ascii="宋体" w:hAnsi="宋体" w:cs="宋体"/>
          <w:sz w:val="24"/>
          <w:szCs w:val="24"/>
        </w:rPr>
        <w:t>—投标人财务得分；</w:t>
      </w:r>
    </w:p>
    <w:p>
      <w:pPr>
        <w:spacing w:line="360" w:lineRule="auto"/>
        <w:ind w:firstLine="1168" w:firstLineChars="487"/>
        <w:rPr>
          <w:rFonts w:hint="eastAsia" w:ascii="宋体" w:hAnsi="宋体" w:cs="宋体"/>
          <w:sz w:val="24"/>
          <w:szCs w:val="24"/>
        </w:rPr>
      </w:pPr>
      <w:r>
        <w:rPr>
          <w:rFonts w:hint="eastAsia" w:ascii="宋体" w:hAnsi="宋体" w:cs="宋体"/>
          <w:i/>
          <w:iCs/>
          <w:sz w:val="24"/>
          <w:szCs w:val="24"/>
        </w:rPr>
        <w:t xml:space="preserve">F </w:t>
      </w:r>
      <w:r>
        <w:rPr>
          <w:rFonts w:hint="eastAsia" w:ascii="宋体" w:hAnsi="宋体" w:cs="宋体"/>
          <w:sz w:val="24"/>
          <w:szCs w:val="24"/>
        </w:rPr>
        <w:t>—财务得分所占的百分比权重，</w:t>
      </w:r>
      <w:r>
        <w:rPr>
          <w:rFonts w:hint="eastAsia" w:ascii="宋体" w:hAnsi="宋体" w:cs="宋体"/>
          <w:i/>
          <w:iCs/>
          <w:sz w:val="24"/>
          <w:szCs w:val="24"/>
        </w:rPr>
        <w:t xml:space="preserve">F </w:t>
      </w:r>
      <w:r>
        <w:rPr>
          <w:rFonts w:hint="eastAsia" w:ascii="宋体" w:hAnsi="宋体" w:cs="宋体"/>
          <w:sz w:val="24"/>
          <w:szCs w:val="24"/>
        </w:rPr>
        <w:t>= 10；</w:t>
      </w:r>
    </w:p>
    <w:p>
      <w:pPr>
        <w:spacing w:line="360" w:lineRule="auto"/>
        <w:ind w:firstLine="1200" w:firstLineChars="500"/>
        <w:rPr>
          <w:rFonts w:hint="eastAsia" w:ascii="宋体" w:hAnsi="宋体" w:cs="宋体"/>
          <w:sz w:val="24"/>
          <w:szCs w:val="24"/>
        </w:rPr>
      </w:pPr>
      <w:r>
        <w:rPr>
          <w:rFonts w:hint="eastAsia" w:ascii="宋体" w:hAnsi="宋体" w:cs="宋体"/>
          <w:i/>
          <w:iCs/>
          <w:sz w:val="24"/>
          <w:szCs w:val="24"/>
        </w:rPr>
        <w:t>D</w:t>
      </w:r>
      <w:r>
        <w:rPr>
          <w:rFonts w:hint="eastAsia" w:ascii="宋体" w:hAnsi="宋体" w:cs="宋体"/>
          <w:sz w:val="24"/>
          <w:szCs w:val="24"/>
          <w:vertAlign w:val="subscript"/>
        </w:rPr>
        <w:t xml:space="preserve">i </w:t>
      </w:r>
      <w:r>
        <w:rPr>
          <w:rFonts w:hint="eastAsia" w:ascii="宋体" w:hAnsi="宋体" w:cs="宋体"/>
          <w:sz w:val="24"/>
          <w:szCs w:val="24"/>
        </w:rPr>
        <w:t>—投标人的评标价；</w:t>
      </w:r>
    </w:p>
    <w:p>
      <w:pPr>
        <w:spacing w:line="360" w:lineRule="auto"/>
        <w:ind w:firstLine="1200" w:firstLineChars="500"/>
        <w:rPr>
          <w:rFonts w:hint="eastAsia" w:ascii="宋体" w:hAnsi="宋体" w:cs="宋体"/>
          <w:sz w:val="24"/>
          <w:szCs w:val="24"/>
        </w:rPr>
      </w:pPr>
      <w:r>
        <w:rPr>
          <w:rFonts w:hint="eastAsia" w:ascii="宋体" w:hAnsi="宋体" w:cs="宋体"/>
          <w:i/>
          <w:iCs/>
          <w:sz w:val="24"/>
          <w:szCs w:val="24"/>
        </w:rPr>
        <w:t xml:space="preserve">P </w:t>
      </w:r>
      <w:r>
        <w:rPr>
          <w:rFonts w:hint="eastAsia" w:ascii="宋体" w:hAnsi="宋体" w:cs="宋体"/>
          <w:sz w:val="24"/>
          <w:szCs w:val="24"/>
        </w:rPr>
        <w:t>—评标基准价。</w:t>
      </w:r>
    </w:p>
    <w:p>
      <w:pPr>
        <w:spacing w:line="360" w:lineRule="auto"/>
        <w:ind w:firstLine="1116" w:firstLineChars="465"/>
        <w:rPr>
          <w:rFonts w:hint="eastAsia" w:ascii="宋体" w:hAnsi="宋体" w:cs="宋体"/>
          <w:spacing w:val="-6"/>
          <w:sz w:val="24"/>
          <w:szCs w:val="24"/>
        </w:rPr>
      </w:pPr>
      <w:r>
        <w:rPr>
          <w:rFonts w:hint="eastAsia" w:ascii="宋体" w:hAnsi="宋体" w:cs="宋体"/>
          <w:sz w:val="24"/>
          <w:szCs w:val="24"/>
        </w:rPr>
        <w:t>若</w:t>
      </w:r>
      <w:r>
        <w:rPr>
          <w:rFonts w:hint="eastAsia" w:ascii="宋体" w:hAnsi="宋体" w:cs="宋体"/>
          <w:i/>
          <w:iCs/>
          <w:sz w:val="24"/>
          <w:szCs w:val="24"/>
        </w:rPr>
        <w:t>D</w:t>
      </w:r>
      <w:r>
        <w:rPr>
          <w:rFonts w:hint="eastAsia" w:ascii="宋体" w:hAnsi="宋体" w:cs="宋体"/>
          <w:sz w:val="24"/>
          <w:szCs w:val="24"/>
          <w:vertAlign w:val="subscript"/>
        </w:rPr>
        <w:t>i</w:t>
      </w:r>
      <w:r>
        <w:rPr>
          <w:rFonts w:hint="eastAsia" w:ascii="宋体" w:hAnsi="宋体" w:cs="宋体"/>
          <w:sz w:val="24"/>
          <w:szCs w:val="24"/>
        </w:rPr>
        <w:t>≥</w:t>
      </w:r>
      <w:r>
        <w:rPr>
          <w:rFonts w:hint="eastAsia" w:ascii="宋体" w:hAnsi="宋体" w:cs="宋体"/>
          <w:i/>
          <w:iCs/>
          <w:sz w:val="24"/>
          <w:szCs w:val="24"/>
        </w:rPr>
        <w:t>P</w:t>
      </w:r>
      <w:r>
        <w:rPr>
          <w:rFonts w:hint="eastAsia" w:ascii="宋体" w:hAnsi="宋体" w:cs="宋体"/>
          <w:sz w:val="24"/>
          <w:szCs w:val="24"/>
        </w:rPr>
        <w:t>，则</w:t>
      </w:r>
      <w:r>
        <w:rPr>
          <w:rFonts w:hint="eastAsia" w:ascii="宋体" w:hAnsi="宋体" w:cs="宋体"/>
          <w:i/>
          <w:iCs/>
          <w:sz w:val="24"/>
          <w:szCs w:val="24"/>
        </w:rPr>
        <w:t>E</w:t>
      </w:r>
      <w:r>
        <w:rPr>
          <w:rFonts w:hint="eastAsia" w:ascii="宋体" w:hAnsi="宋体" w:cs="宋体"/>
          <w:sz w:val="24"/>
          <w:szCs w:val="24"/>
        </w:rPr>
        <w:t xml:space="preserve"> = 0.5；若</w:t>
      </w:r>
      <w:r>
        <w:rPr>
          <w:rFonts w:hint="eastAsia" w:ascii="宋体" w:hAnsi="宋体" w:cs="宋体"/>
          <w:i/>
          <w:iCs/>
          <w:sz w:val="24"/>
          <w:szCs w:val="24"/>
        </w:rPr>
        <w:t>D</w:t>
      </w:r>
      <w:r>
        <w:rPr>
          <w:rFonts w:hint="eastAsia" w:ascii="宋体" w:hAnsi="宋体" w:cs="宋体"/>
          <w:sz w:val="24"/>
          <w:szCs w:val="24"/>
          <w:vertAlign w:val="subscript"/>
        </w:rPr>
        <w:t xml:space="preserve">i </w:t>
      </w:r>
      <w:r>
        <w:rPr>
          <w:rFonts w:hint="eastAsia" w:ascii="宋体" w:hAnsi="宋体" w:cs="宋体"/>
          <w:sz w:val="24"/>
          <w:szCs w:val="24"/>
        </w:rPr>
        <w:t xml:space="preserve">＜ </w:t>
      </w:r>
      <w:r>
        <w:rPr>
          <w:rFonts w:hint="eastAsia" w:ascii="宋体" w:hAnsi="宋体" w:cs="宋体"/>
          <w:i/>
          <w:iCs/>
          <w:sz w:val="24"/>
          <w:szCs w:val="24"/>
        </w:rPr>
        <w:t>P</w:t>
      </w:r>
      <w:r>
        <w:rPr>
          <w:rFonts w:hint="eastAsia" w:ascii="宋体" w:hAnsi="宋体" w:cs="宋体"/>
          <w:sz w:val="24"/>
          <w:szCs w:val="24"/>
        </w:rPr>
        <w:t>，则</w:t>
      </w:r>
      <w:r>
        <w:rPr>
          <w:rFonts w:hint="eastAsia" w:ascii="宋体" w:hAnsi="宋体" w:cs="宋体"/>
          <w:i/>
          <w:iCs/>
          <w:sz w:val="24"/>
          <w:szCs w:val="24"/>
        </w:rPr>
        <w:t xml:space="preserve">E </w:t>
      </w:r>
      <w:r>
        <w:rPr>
          <w:rFonts w:hint="eastAsia" w:ascii="宋体" w:hAnsi="宋体" w:cs="宋体"/>
          <w:sz w:val="24"/>
          <w:szCs w:val="24"/>
        </w:rPr>
        <w:t>=0.25。财务得分最低为0分</w:t>
      </w:r>
      <w:r>
        <w:rPr>
          <w:rFonts w:hint="eastAsia" w:ascii="宋体" w:hAnsi="宋体" w:cs="宋体"/>
          <w:spacing w:val="-6"/>
          <w:sz w:val="24"/>
          <w:szCs w:val="24"/>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39871343">
    <w:nsid w:val="0E4C256F"/>
    <w:multiLevelType w:val="singleLevel"/>
    <w:tmpl w:val="0E4C256F"/>
    <w:lvl w:ilvl="0" w:tentative="1">
      <w:start w:val="1"/>
      <w:numFmt w:val="upperLetter"/>
      <w:pStyle w:val="2"/>
      <w:lvlText w:val="%1、"/>
      <w:lvlJc w:val="left"/>
      <w:pPr>
        <w:tabs>
          <w:tab w:val="left" w:pos="960"/>
        </w:tabs>
        <w:ind w:left="960" w:hanging="324"/>
      </w:pPr>
      <w:rPr>
        <w:rFonts w:hint="eastAsia" w:cs="Times New Roman"/>
      </w:rPr>
    </w:lvl>
  </w:abstractNum>
  <w:abstractNum w:abstractNumId="358356545">
    <w:nsid w:val="155C1641"/>
    <w:multiLevelType w:val="multilevel"/>
    <w:tmpl w:val="155C1641"/>
    <w:lvl w:ilvl="0" w:tentative="1">
      <w:start w:val="1"/>
      <w:numFmt w:val="decimal"/>
      <w:lvlText w:val="(%1)"/>
      <w:lvlJc w:val="left"/>
      <w:pPr>
        <w:ind w:left="920" w:hanging="360"/>
      </w:pPr>
      <w:rPr>
        <w:rFonts w:hint="default"/>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num w:numId="1">
    <w:abstractNumId w:val="239871343"/>
  </w:num>
  <w:num w:numId="2">
    <w:abstractNumId w:val="3583565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F95CCA"/>
    <w:rsid w:val="00816DC8"/>
    <w:rsid w:val="00920821"/>
    <w:rsid w:val="00F95CCA"/>
    <w:rsid w:val="04EC7777"/>
    <w:rsid w:val="06266480"/>
    <w:rsid w:val="157971CF"/>
    <w:rsid w:val="32944F0D"/>
    <w:rsid w:val="3E024686"/>
    <w:rsid w:val="4BF437E8"/>
    <w:rsid w:val="4D285819"/>
    <w:rsid w:val="675151CE"/>
    <w:rsid w:val="6C926028"/>
    <w:rsid w:val="76381240"/>
    <w:rsid w:val="7AD046E9"/>
    <w:rsid w:val="7D27399C"/>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0" w:lineRule="exact"/>
      <w:jc w:val="both"/>
    </w:pPr>
    <w:rPr>
      <w:rFonts w:ascii="Times New Roman" w:hAnsi="Times New Roman" w:eastAsia="宋体" w:cs="Times New Roman"/>
      <w:kern w:val="2"/>
      <w:sz w:val="21"/>
      <w:szCs w:val="21"/>
      <w:lang w:val="en-US" w:eastAsia="zh-CN" w:bidi="ar-SA"/>
    </w:rPr>
  </w:style>
  <w:style w:type="paragraph" w:styleId="2">
    <w:name w:val="heading 3"/>
    <w:basedOn w:val="1"/>
    <w:next w:val="3"/>
    <w:unhideWhenUsed/>
    <w:qFormat/>
    <w:uiPriority w:val="9"/>
    <w:pPr>
      <w:keepNext/>
      <w:numPr>
        <w:ilvl w:val="0"/>
        <w:numId w:val="1"/>
      </w:numPr>
      <w:jc w:val="center"/>
      <w:outlineLvl w:val="2"/>
    </w:pPr>
    <w:rPr>
      <w:rFonts w:ascii="黑体" w:eastAsia="黑体"/>
      <w:color w:val="000000"/>
      <w:sz w:val="32"/>
      <w:szCs w:val="32"/>
    </w:rPr>
  </w:style>
  <w:style w:type="paragraph" w:styleId="4">
    <w:name w:val="heading 5"/>
    <w:basedOn w:val="1"/>
    <w:next w:val="1"/>
    <w:unhideWhenUsed/>
    <w:qFormat/>
    <w:uiPriority w:val="9"/>
    <w:pPr>
      <w:keepNext/>
      <w:keepLines/>
      <w:spacing w:before="280" w:after="290" w:line="376" w:lineRule="auto"/>
      <w:outlineLvl w:val="4"/>
    </w:pPr>
    <w:rPr>
      <w:b/>
      <w:bCs/>
      <w:sz w:val="28"/>
      <w:szCs w:val="28"/>
    </w:rPr>
  </w:style>
  <w:style w:type="character" w:default="1" w:styleId="6">
    <w:name w:val="Default Paragraph Font"/>
    <w:unhideWhenUsed/>
    <w:qFormat/>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3">
    <w:name w:val="Normal Indent"/>
    <w:basedOn w:val="1"/>
    <w:unhideWhenUsed/>
    <w:qFormat/>
    <w:uiPriority w:val="99"/>
    <w:pPr>
      <w:ind w:firstLine="420"/>
    </w:pPr>
  </w:style>
  <w:style w:type="paragraph" w:styleId="5">
    <w:name w:val="Plain Text"/>
    <w:basedOn w:val="1"/>
    <w:unhideWhenUsed/>
    <w:qFormat/>
    <w:uiPriority w:val="99"/>
    <w:rPr>
      <w:rFonts w:ascii="宋体" w:hAnsi="Courier New"/>
    </w:rPr>
  </w:style>
  <w:style w:type="paragraph" w:customStyle="1" w:styleId="8">
    <w:name w:val="列出段落2"/>
    <w:basedOn w:val="1"/>
    <w:qFormat/>
    <w:uiPriority w:val="99"/>
    <w:pPr>
      <w:spacing w:line="440" w:lineRule="exact"/>
      <w:ind w:firstLine="520" w:firstLineChars="200"/>
    </w:pPr>
    <w:rPr>
      <w:rFonts w:hAnsi="Calibri"/>
      <w:sz w:val="26"/>
      <w:szCs w:val="26"/>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903</Words>
  <Characters>5151</Characters>
  <Lines>42</Lines>
  <Paragraphs>12</Paragraphs>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2017-09-13T07:55:00Z</dcterms:created>
  <dc:creator>USER</dc:creator>
  <cp:lastModifiedBy>cy</cp:lastModifiedBy>
  <dcterms:modified xsi:type="dcterms:W3CDTF">2017-09-13T09:39:03Z</dcterms:modified>
  <dc:title>延长至黄龙、宁陕至石泉高速公路</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