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80" w:lineRule="exact"/>
        <w:ind w:left="0" w:leftChars="0" w:right="0" w:rightChars="0"/>
        <w:jc w:val="left"/>
        <w:textAlignment w:val="auto"/>
        <w:outlineLvl w:val="9"/>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w:t>
      </w:r>
    </w:p>
    <w:p>
      <w:pPr>
        <w:spacing w:line="560" w:lineRule="exact"/>
        <w:jc w:val="left"/>
        <w:rPr>
          <w:rFonts w:hint="eastAsia" w:ascii="方正小标宋简体" w:hAnsi="方正小标宋简体" w:eastAsia="方正小标宋简体" w:cs="方正小标宋简体"/>
          <w:b w:val="0"/>
          <w:bCs/>
          <w:sz w:val="32"/>
          <w:szCs w:val="32"/>
          <w:lang w:val="en-US" w:eastAsia="zh-CN"/>
        </w:rPr>
      </w:pPr>
    </w:p>
    <w:p>
      <w:pPr>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陕西省公路施工企业信用评价实施细则</w:t>
      </w:r>
    </w:p>
    <w:p>
      <w:pPr>
        <w:spacing w:line="560" w:lineRule="exact"/>
        <w:jc w:val="center"/>
        <w:rPr>
          <w:rFonts w:hint="eastAsia" w:ascii="仿宋_GB2312" w:hAnsi="宋体" w:eastAsia="仿宋_GB2312"/>
          <w:b/>
          <w:sz w:val="32"/>
          <w:szCs w:val="28"/>
        </w:rPr>
      </w:pPr>
    </w:p>
    <w:p>
      <w:pPr>
        <w:tabs>
          <w:tab w:val="left" w:pos="2235"/>
          <w:tab w:val="center" w:pos="4153"/>
        </w:tabs>
        <w:autoSpaceDN w:val="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b w:val="0"/>
          <w:bCs w:val="0"/>
          <w:sz w:val="32"/>
          <w:szCs w:val="32"/>
        </w:rPr>
        <w:t xml:space="preserve">第一条 </w:t>
      </w:r>
      <w:r>
        <w:rPr>
          <w:rFonts w:hint="eastAsia" w:ascii="仿宋" w:hAnsi="仿宋" w:eastAsia="仿宋" w:cs="仿宋"/>
          <w:sz w:val="32"/>
          <w:szCs w:val="32"/>
        </w:rPr>
        <w:t>为规范公路施工企业信用评价工作，统一方法和标准，根据交通运输部《公路建设市场信用信息管理办法》、《公路施工企业信用评价规则》等有关规定，结合我省实际，制定本实施细则。</w:t>
      </w:r>
    </w:p>
    <w:p>
      <w:pPr>
        <w:widowControl/>
        <w:tabs>
          <w:tab w:val="center" w:pos="4153"/>
        </w:tabs>
        <w:autoSpaceDN w:val="0"/>
        <w:ind w:firstLine="480"/>
        <w:rPr>
          <w:rFonts w:hint="eastAsia" w:ascii="仿宋" w:hAnsi="仿宋" w:eastAsia="仿宋" w:cs="仿宋"/>
          <w:color w:val="auto"/>
          <w:sz w:val="32"/>
          <w:szCs w:val="32"/>
        </w:rPr>
      </w:pPr>
      <w:r>
        <w:rPr>
          <w:rFonts w:hint="eastAsia" w:ascii="黑体" w:hAnsi="黑体" w:eastAsia="黑体" w:cs="黑体"/>
          <w:b w:val="0"/>
          <w:bCs w:val="0"/>
          <w:sz w:val="32"/>
          <w:szCs w:val="32"/>
        </w:rPr>
        <w:t>第二条</w:t>
      </w:r>
      <w:r>
        <w:rPr>
          <w:rFonts w:hint="eastAsia" w:ascii="仿宋" w:hAnsi="仿宋" w:eastAsia="仿宋" w:cs="仿宋"/>
          <w:b/>
          <w:bCs/>
          <w:sz w:val="32"/>
          <w:szCs w:val="32"/>
        </w:rPr>
        <w:tab/>
      </w:r>
      <w:r>
        <w:rPr>
          <w:rFonts w:hint="eastAsia" w:ascii="仿宋" w:hAnsi="仿宋" w:eastAsia="仿宋" w:cs="仿宋"/>
          <w:sz w:val="32"/>
          <w:szCs w:val="32"/>
        </w:rPr>
        <w:t xml:space="preserve"> 本</w:t>
      </w:r>
      <w:r>
        <w:rPr>
          <w:rFonts w:hint="eastAsia" w:ascii="仿宋" w:hAnsi="仿宋" w:eastAsia="仿宋" w:cs="仿宋"/>
          <w:sz w:val="32"/>
          <w:szCs w:val="32"/>
          <w:lang w:eastAsia="zh-CN"/>
        </w:rPr>
        <w:t>实施细则</w:t>
      </w:r>
      <w:r>
        <w:rPr>
          <w:rFonts w:hint="eastAsia" w:ascii="仿宋" w:hAnsi="仿宋" w:eastAsia="仿宋" w:cs="仿宋"/>
          <w:sz w:val="32"/>
          <w:szCs w:val="32"/>
        </w:rPr>
        <w:t>所称公路施工企业信用评价是指省交通运输厅或其委托机构依据有关法律法规、标准规范、合同文件等，通过量化方</w:t>
      </w:r>
      <w:r>
        <w:rPr>
          <w:rFonts w:hint="eastAsia" w:ascii="仿宋" w:hAnsi="仿宋" w:eastAsia="仿宋" w:cs="仿宋"/>
          <w:color w:val="auto"/>
          <w:sz w:val="32"/>
          <w:szCs w:val="32"/>
        </w:rPr>
        <w:t>式对参与公路工程</w:t>
      </w:r>
      <w:r>
        <w:rPr>
          <w:rFonts w:hint="eastAsia" w:ascii="仿宋" w:hAnsi="仿宋" w:eastAsia="仿宋" w:cs="仿宋"/>
          <w:color w:val="auto"/>
          <w:sz w:val="32"/>
          <w:szCs w:val="32"/>
          <w:lang w:val="en-US" w:eastAsia="zh-CN"/>
        </w:rPr>
        <w:t>主体工程（</w:t>
      </w:r>
      <w:r>
        <w:rPr>
          <w:rFonts w:hint="eastAsia" w:ascii="仿宋" w:hAnsi="仿宋" w:eastAsia="仿宋" w:cs="仿宋"/>
          <w:color w:val="auto"/>
          <w:sz w:val="32"/>
          <w:szCs w:val="32"/>
        </w:rPr>
        <w:t>路基、路面、桥梁、隧道</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、交安、机电、房建、绿化等工程施工，具有</w:t>
      </w:r>
      <w:r>
        <w:rPr>
          <w:rFonts w:hint="eastAsia" w:ascii="仿宋" w:hAnsi="仿宋" w:eastAsia="仿宋" w:cs="仿宋"/>
          <w:color w:val="auto"/>
          <w:sz w:val="32"/>
          <w:szCs w:val="32"/>
          <w:lang w:val="en-US" w:eastAsia="zh-CN"/>
        </w:rPr>
        <w:t>相应</w:t>
      </w:r>
      <w:r>
        <w:rPr>
          <w:rFonts w:hint="eastAsia" w:ascii="仿宋" w:hAnsi="仿宋" w:eastAsia="仿宋" w:cs="仿宋"/>
          <w:color w:val="auto"/>
          <w:sz w:val="32"/>
          <w:szCs w:val="32"/>
        </w:rPr>
        <w:t>施工资质的企业在我省公路建设市场从业行为的评价。</w:t>
      </w:r>
    </w:p>
    <w:p>
      <w:pPr>
        <w:widowControl/>
        <w:tabs>
          <w:tab w:val="left" w:pos="2235"/>
          <w:tab w:val="center" w:pos="4153"/>
        </w:tabs>
        <w:autoSpaceDN w:val="0"/>
        <w:ind w:firstLine="480"/>
        <w:rPr>
          <w:rFonts w:hint="eastAsia" w:ascii="仿宋" w:hAnsi="仿宋" w:eastAsia="仿宋" w:cs="仿宋"/>
          <w:color w:val="auto"/>
          <w:sz w:val="32"/>
          <w:szCs w:val="32"/>
        </w:rPr>
      </w:pPr>
      <w:r>
        <w:rPr>
          <w:rFonts w:hint="eastAsia" w:ascii="黑体" w:hAnsi="黑体" w:eastAsia="黑体" w:cs="黑体"/>
          <w:b w:val="0"/>
          <w:bCs w:val="0"/>
          <w:color w:val="auto"/>
          <w:sz w:val="32"/>
          <w:szCs w:val="32"/>
        </w:rPr>
        <w:t>第三条</w:t>
      </w:r>
      <w:r>
        <w:rPr>
          <w:rFonts w:hint="eastAsia" w:ascii="仿宋" w:hAnsi="仿宋" w:eastAsia="仿宋" w:cs="仿宋"/>
          <w:color w:val="auto"/>
          <w:sz w:val="32"/>
          <w:szCs w:val="32"/>
        </w:rPr>
        <w:t xml:space="preserve"> 公路施工企业信用评价遵循公平、公正、公开的原则，评价结果实行</w:t>
      </w:r>
      <w:r>
        <w:rPr>
          <w:rFonts w:hint="eastAsia" w:ascii="仿宋" w:hAnsi="仿宋" w:eastAsia="仿宋" w:cs="仿宋"/>
          <w:color w:val="auto"/>
          <w:sz w:val="32"/>
          <w:szCs w:val="32"/>
          <w:lang w:val="en-US" w:eastAsia="zh-CN"/>
        </w:rPr>
        <w:t>评价人</w:t>
      </w:r>
      <w:r>
        <w:rPr>
          <w:rFonts w:hint="eastAsia" w:ascii="仿宋" w:hAnsi="仿宋" w:eastAsia="仿宋" w:cs="仿宋"/>
          <w:strike w:val="0"/>
          <w:dstrike w:val="0"/>
          <w:color w:val="auto"/>
          <w:sz w:val="32"/>
          <w:szCs w:val="32"/>
        </w:rPr>
        <w:t>签认</w:t>
      </w:r>
      <w:r>
        <w:rPr>
          <w:rFonts w:hint="eastAsia" w:ascii="仿宋" w:hAnsi="仿宋" w:eastAsia="仿宋" w:cs="仿宋"/>
          <w:color w:val="auto"/>
          <w:sz w:val="32"/>
          <w:szCs w:val="32"/>
        </w:rPr>
        <w:t>和公示、公告制度。</w:t>
      </w:r>
    </w:p>
    <w:p>
      <w:pPr>
        <w:widowControl/>
        <w:tabs>
          <w:tab w:val="left" w:pos="2235"/>
          <w:tab w:val="center" w:pos="4153"/>
        </w:tabs>
        <w:autoSpaceDN w:val="0"/>
        <w:ind w:firstLine="480"/>
        <w:rPr>
          <w:rFonts w:hint="eastAsia" w:ascii="仿宋" w:hAnsi="仿宋" w:eastAsia="仿宋" w:cs="仿宋"/>
          <w:color w:val="auto"/>
          <w:sz w:val="32"/>
          <w:szCs w:val="32"/>
        </w:rPr>
      </w:pPr>
      <w:r>
        <w:rPr>
          <w:rFonts w:hint="eastAsia" w:ascii="黑体" w:hAnsi="黑体" w:eastAsia="黑体" w:cs="黑体"/>
          <w:b w:val="0"/>
          <w:bCs w:val="0"/>
          <w:color w:val="auto"/>
          <w:sz w:val="32"/>
          <w:szCs w:val="32"/>
        </w:rPr>
        <w:t xml:space="preserve">第四条 </w:t>
      </w:r>
      <w:r>
        <w:rPr>
          <w:rFonts w:hint="eastAsia" w:ascii="仿宋" w:hAnsi="仿宋" w:eastAsia="仿宋" w:cs="仿宋"/>
          <w:color w:val="auto"/>
          <w:sz w:val="32"/>
          <w:szCs w:val="32"/>
        </w:rPr>
        <w:t>信用评价管理工作实行统一管理、分级负责。</w:t>
      </w:r>
    </w:p>
    <w:p>
      <w:pPr>
        <w:widowControl/>
        <w:tabs>
          <w:tab w:val="left" w:pos="2235"/>
          <w:tab w:val="center" w:pos="4153"/>
        </w:tabs>
        <w:autoSpaceDN w:val="0"/>
        <w:ind w:firstLine="480"/>
        <w:rPr>
          <w:rFonts w:hint="eastAsia" w:ascii="仿宋" w:hAnsi="仿宋" w:eastAsia="仿宋" w:cs="仿宋"/>
          <w:color w:val="auto"/>
          <w:sz w:val="32"/>
          <w:szCs w:val="32"/>
        </w:rPr>
      </w:pPr>
      <w:r>
        <w:rPr>
          <w:rFonts w:hint="eastAsia" w:ascii="黑体" w:hAnsi="黑体" w:eastAsia="黑体" w:cs="黑体"/>
          <w:b w:val="0"/>
          <w:bCs w:val="0"/>
          <w:color w:val="auto"/>
          <w:sz w:val="32"/>
          <w:szCs w:val="32"/>
        </w:rPr>
        <w:t>第五条</w:t>
      </w:r>
      <w:r>
        <w:rPr>
          <w:rFonts w:hint="eastAsia" w:ascii="仿宋" w:hAnsi="仿宋" w:eastAsia="仿宋" w:cs="仿宋"/>
          <w:color w:val="auto"/>
          <w:sz w:val="32"/>
          <w:szCs w:val="32"/>
        </w:rPr>
        <w:t xml:space="preserve"> 省交通运输厅负责</w:t>
      </w:r>
      <w:r>
        <w:rPr>
          <w:rFonts w:hint="eastAsia" w:ascii="仿宋" w:hAnsi="仿宋" w:eastAsia="仿宋" w:cs="仿宋"/>
          <w:color w:val="auto"/>
          <w:sz w:val="32"/>
          <w:szCs w:val="32"/>
          <w:lang w:eastAsia="zh-CN"/>
        </w:rPr>
        <w:t>全</w:t>
      </w:r>
      <w:r>
        <w:rPr>
          <w:rFonts w:hint="eastAsia" w:ascii="仿宋" w:hAnsi="仿宋" w:eastAsia="仿宋" w:cs="仿宋"/>
          <w:color w:val="auto"/>
          <w:sz w:val="32"/>
          <w:szCs w:val="32"/>
        </w:rPr>
        <w:t>省公路施工企业的信用评价管理工作。主要职责是：</w:t>
      </w:r>
    </w:p>
    <w:p>
      <w:pPr>
        <w:widowControl/>
        <w:tabs>
          <w:tab w:val="left" w:pos="2235"/>
          <w:tab w:val="center" w:pos="4153"/>
        </w:tabs>
        <w:autoSpaceDN w:val="0"/>
        <w:ind w:firstLine="480"/>
        <w:rPr>
          <w:rFonts w:hint="eastAsia" w:ascii="仿宋" w:hAnsi="仿宋" w:eastAsia="仿宋" w:cs="仿宋"/>
          <w:color w:val="auto"/>
          <w:sz w:val="32"/>
          <w:szCs w:val="32"/>
        </w:rPr>
      </w:pPr>
      <w:r>
        <w:rPr>
          <w:rFonts w:hint="eastAsia" w:ascii="仿宋" w:hAnsi="仿宋" w:eastAsia="仿宋" w:cs="仿宋"/>
          <w:color w:val="auto"/>
          <w:sz w:val="32"/>
          <w:szCs w:val="32"/>
        </w:rPr>
        <w:t>（一）制定本省公路施工企业信用评价实施细则并组织实施；</w:t>
      </w:r>
    </w:p>
    <w:p>
      <w:pPr>
        <w:widowControl/>
        <w:tabs>
          <w:tab w:val="left" w:pos="2235"/>
          <w:tab w:val="center" w:pos="4153"/>
        </w:tabs>
        <w:autoSpaceDN w:val="0"/>
        <w:ind w:firstLine="480"/>
        <w:rPr>
          <w:rFonts w:hint="eastAsia" w:ascii="仿宋" w:hAnsi="仿宋" w:eastAsia="仿宋" w:cs="仿宋"/>
          <w:color w:val="auto"/>
          <w:sz w:val="32"/>
          <w:szCs w:val="32"/>
        </w:rPr>
      </w:pPr>
      <w:r>
        <w:rPr>
          <w:rFonts w:hint="eastAsia" w:ascii="仿宋" w:hAnsi="仿宋" w:eastAsia="仿宋" w:cs="仿宋"/>
          <w:color w:val="auto"/>
          <w:sz w:val="32"/>
          <w:szCs w:val="32"/>
        </w:rPr>
        <w:t>（二）指导各</w:t>
      </w:r>
      <w:r>
        <w:rPr>
          <w:rFonts w:hint="eastAsia" w:ascii="仿宋" w:hAnsi="仿宋" w:eastAsia="仿宋" w:cs="仿宋"/>
          <w:color w:val="auto"/>
          <w:sz w:val="32"/>
          <w:szCs w:val="32"/>
          <w:lang w:eastAsia="zh-CN"/>
        </w:rPr>
        <w:t>市（区）</w:t>
      </w:r>
      <w:r>
        <w:rPr>
          <w:rFonts w:hint="eastAsia" w:ascii="仿宋" w:hAnsi="仿宋" w:eastAsia="仿宋" w:cs="仿宋"/>
          <w:color w:val="auto"/>
          <w:sz w:val="32"/>
          <w:szCs w:val="32"/>
        </w:rPr>
        <w:t>交通运输局、省公路局、厅质监站、项目法人组织开展信用评价相关工作；</w:t>
      </w:r>
    </w:p>
    <w:p>
      <w:pPr>
        <w:widowControl/>
        <w:tabs>
          <w:tab w:val="left" w:pos="2235"/>
          <w:tab w:val="center" w:pos="4153"/>
        </w:tabs>
        <w:autoSpaceDN w:val="0"/>
        <w:ind w:firstLine="480"/>
        <w:rPr>
          <w:rFonts w:hint="eastAsia" w:ascii="仿宋" w:hAnsi="仿宋" w:eastAsia="仿宋" w:cs="仿宋"/>
          <w:color w:val="auto"/>
          <w:sz w:val="32"/>
          <w:szCs w:val="32"/>
        </w:rPr>
      </w:pPr>
      <w:r>
        <w:rPr>
          <w:rFonts w:hint="eastAsia" w:ascii="仿宋" w:hAnsi="仿宋" w:eastAsia="仿宋" w:cs="仿宋"/>
          <w:color w:val="auto"/>
          <w:sz w:val="32"/>
          <w:szCs w:val="32"/>
        </w:rPr>
        <w:t>（三）负责全省公路施工企业信用综合评价结果的审定和发布。</w:t>
      </w:r>
    </w:p>
    <w:p>
      <w:pPr>
        <w:widowControl/>
        <w:numPr>
          <w:ilvl w:val="0"/>
          <w:numId w:val="0"/>
        </w:numPr>
        <w:tabs>
          <w:tab w:val="left" w:pos="2235"/>
          <w:tab w:val="center" w:pos="4153"/>
        </w:tabs>
        <w:autoSpaceDN w:val="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省交通运输厅具体办事机构设在厅建设管理处。</w:t>
      </w:r>
    </w:p>
    <w:p>
      <w:pPr>
        <w:widowControl/>
        <w:tabs>
          <w:tab w:val="left" w:pos="2235"/>
          <w:tab w:val="center" w:pos="4153"/>
        </w:tabs>
        <w:autoSpaceDN w:val="0"/>
        <w:ind w:firstLine="480"/>
        <w:rPr>
          <w:rFonts w:hint="eastAsia" w:ascii="仿宋" w:hAnsi="仿宋" w:eastAsia="仿宋" w:cs="仿宋"/>
          <w:color w:val="auto"/>
          <w:sz w:val="32"/>
          <w:szCs w:val="32"/>
        </w:rPr>
      </w:pPr>
      <w:r>
        <w:rPr>
          <w:rFonts w:hint="eastAsia" w:ascii="黑体" w:hAnsi="黑体" w:eastAsia="黑体" w:cs="黑体"/>
          <w:b w:val="0"/>
          <w:bCs w:val="0"/>
          <w:color w:val="auto"/>
          <w:sz w:val="32"/>
          <w:szCs w:val="32"/>
        </w:rPr>
        <w:t>第六条</w:t>
      </w:r>
      <w:r>
        <w:rPr>
          <w:rFonts w:hint="eastAsia" w:ascii="仿宋" w:hAnsi="仿宋" w:eastAsia="仿宋" w:cs="仿宋"/>
          <w:color w:val="auto"/>
          <w:sz w:val="32"/>
          <w:szCs w:val="32"/>
        </w:rPr>
        <w:t xml:space="preserve"> 陕西省交通运输厅工程质量监督站（以下简称厅质监站）受省交通运输厅委托负责全省高速公路施工企业（包括同时参与高速、干线公路的施工企业）信用初步评价。</w:t>
      </w:r>
    </w:p>
    <w:p>
      <w:pPr>
        <w:widowControl/>
        <w:tabs>
          <w:tab w:val="left" w:pos="2235"/>
          <w:tab w:val="center" w:pos="4153"/>
        </w:tabs>
        <w:autoSpaceDN w:val="0"/>
        <w:ind w:firstLine="480"/>
        <w:rPr>
          <w:rFonts w:hint="eastAsia" w:ascii="仿宋" w:hAnsi="仿宋" w:eastAsia="仿宋" w:cs="仿宋"/>
          <w:color w:val="auto"/>
          <w:sz w:val="32"/>
          <w:szCs w:val="32"/>
        </w:rPr>
      </w:pPr>
      <w:r>
        <w:rPr>
          <w:rFonts w:hint="eastAsia" w:ascii="黑体" w:hAnsi="黑体" w:eastAsia="黑体" w:cs="黑体"/>
          <w:b w:val="0"/>
          <w:bCs w:val="0"/>
          <w:color w:val="auto"/>
          <w:sz w:val="32"/>
          <w:szCs w:val="32"/>
        </w:rPr>
        <w:t>第七条</w:t>
      </w:r>
      <w:r>
        <w:rPr>
          <w:rFonts w:hint="eastAsia" w:ascii="仿宋" w:hAnsi="仿宋" w:eastAsia="仿宋" w:cs="仿宋"/>
          <w:color w:val="auto"/>
          <w:sz w:val="32"/>
          <w:szCs w:val="32"/>
        </w:rPr>
        <w:t xml:space="preserve"> 省公路局受省交通运输厅委托，具体负责全省干线公路施工企业（仅参与干线公路的施工企业）信用初步评价。</w:t>
      </w:r>
    </w:p>
    <w:p>
      <w:pPr>
        <w:widowControl/>
        <w:tabs>
          <w:tab w:val="left" w:pos="2235"/>
          <w:tab w:val="center" w:pos="4153"/>
        </w:tabs>
        <w:autoSpaceDN w:val="0"/>
        <w:ind w:firstLine="480"/>
        <w:rPr>
          <w:rFonts w:hint="eastAsia" w:ascii="仿宋" w:hAnsi="仿宋" w:eastAsia="仿宋" w:cs="仿宋"/>
          <w:color w:val="auto"/>
          <w:sz w:val="32"/>
          <w:szCs w:val="32"/>
        </w:rPr>
      </w:pPr>
      <w:r>
        <w:rPr>
          <w:rFonts w:hint="eastAsia" w:ascii="黑体" w:hAnsi="黑体" w:eastAsia="黑体" w:cs="黑体"/>
          <w:b w:val="0"/>
          <w:bCs w:val="0"/>
          <w:color w:val="auto"/>
          <w:sz w:val="32"/>
          <w:szCs w:val="32"/>
        </w:rPr>
        <w:t>第八条</w:t>
      </w:r>
      <w:r>
        <w:rPr>
          <w:rFonts w:hint="eastAsia" w:ascii="仿宋" w:hAnsi="仿宋" w:eastAsia="仿宋" w:cs="仿宋"/>
          <w:color w:val="auto"/>
          <w:sz w:val="32"/>
          <w:szCs w:val="32"/>
        </w:rPr>
        <w:t xml:space="preserve"> 各</w:t>
      </w:r>
      <w:r>
        <w:rPr>
          <w:rFonts w:hint="eastAsia" w:ascii="仿宋" w:hAnsi="仿宋" w:eastAsia="仿宋" w:cs="仿宋"/>
          <w:color w:val="auto"/>
          <w:sz w:val="32"/>
          <w:szCs w:val="32"/>
          <w:lang w:eastAsia="zh-CN"/>
        </w:rPr>
        <w:t>市（区）</w:t>
      </w:r>
      <w:r>
        <w:rPr>
          <w:rFonts w:hint="eastAsia" w:ascii="仿宋" w:hAnsi="仿宋" w:eastAsia="仿宋" w:cs="仿宋"/>
          <w:color w:val="auto"/>
          <w:sz w:val="32"/>
          <w:szCs w:val="32"/>
        </w:rPr>
        <w:t>交通运输局、项目法人负责对现场管理机构提供的信用评价信息进行审核，</w:t>
      </w:r>
      <w:r>
        <w:rPr>
          <w:rFonts w:hint="eastAsia" w:ascii="仿宋" w:hAnsi="仿宋" w:eastAsia="仿宋" w:cs="仿宋"/>
          <w:color w:val="auto"/>
          <w:sz w:val="32"/>
          <w:szCs w:val="32"/>
          <w:lang w:val="en-US" w:eastAsia="zh-CN"/>
        </w:rPr>
        <w:t>PPP建设项目</w:t>
      </w:r>
      <w:r>
        <w:rPr>
          <w:rFonts w:hint="eastAsia" w:ascii="仿宋" w:hAnsi="仿宋" w:eastAsia="仿宋" w:cs="仿宋"/>
          <w:sz w:val="32"/>
          <w:szCs w:val="32"/>
        </w:rPr>
        <w:t>信用评价信息</w:t>
      </w:r>
      <w:r>
        <w:rPr>
          <w:rFonts w:hint="eastAsia" w:ascii="仿宋" w:hAnsi="仿宋" w:eastAsia="仿宋" w:cs="仿宋"/>
          <w:color w:val="auto"/>
          <w:sz w:val="32"/>
          <w:szCs w:val="32"/>
          <w:lang w:val="en-US" w:eastAsia="zh-CN"/>
        </w:rPr>
        <w:t>应经项目实施机构及项目监管机构审核，</w:t>
      </w:r>
      <w:r>
        <w:rPr>
          <w:rFonts w:hint="eastAsia" w:ascii="仿宋" w:hAnsi="仿宋" w:eastAsia="仿宋" w:cs="仿宋"/>
          <w:color w:val="auto"/>
          <w:sz w:val="32"/>
          <w:szCs w:val="32"/>
        </w:rPr>
        <w:t>并按照管理职责分别报厅质监站、省公路局。</w:t>
      </w:r>
    </w:p>
    <w:p>
      <w:pPr>
        <w:widowControl/>
        <w:tabs>
          <w:tab w:val="left" w:pos="2235"/>
          <w:tab w:val="center" w:pos="4153"/>
        </w:tabs>
        <w:autoSpaceDN w:val="0"/>
        <w:ind w:firstLine="480"/>
        <w:rPr>
          <w:rFonts w:hint="eastAsia" w:ascii="仿宋" w:hAnsi="仿宋" w:eastAsia="仿宋" w:cs="仿宋"/>
          <w:color w:val="auto"/>
          <w:sz w:val="32"/>
          <w:szCs w:val="32"/>
        </w:rPr>
      </w:pPr>
      <w:r>
        <w:rPr>
          <w:rFonts w:hint="eastAsia" w:ascii="黑体" w:hAnsi="黑体" w:eastAsia="黑体" w:cs="黑体"/>
          <w:b w:val="0"/>
          <w:bCs w:val="0"/>
          <w:color w:val="auto"/>
          <w:sz w:val="32"/>
          <w:szCs w:val="32"/>
        </w:rPr>
        <w:t>第九条</w:t>
      </w:r>
      <w:r>
        <w:rPr>
          <w:rFonts w:hint="eastAsia" w:ascii="仿宋" w:hAnsi="仿宋" w:eastAsia="仿宋" w:cs="仿宋"/>
          <w:color w:val="auto"/>
          <w:sz w:val="32"/>
          <w:szCs w:val="32"/>
        </w:rPr>
        <w:t xml:space="preserve"> 公路施工企业信用评价工作</w:t>
      </w:r>
      <w:r>
        <w:rPr>
          <w:rFonts w:hint="eastAsia" w:ascii="仿宋" w:hAnsi="仿宋" w:eastAsia="仿宋" w:cs="仿宋"/>
          <w:color w:val="auto"/>
          <w:sz w:val="32"/>
          <w:szCs w:val="32"/>
          <w:lang w:eastAsia="zh-CN"/>
        </w:rPr>
        <w:t>采取</w:t>
      </w:r>
      <w:r>
        <w:rPr>
          <w:rFonts w:hint="eastAsia" w:ascii="仿宋" w:hAnsi="仿宋" w:eastAsia="仿宋" w:cs="仿宋"/>
          <w:color w:val="auto"/>
          <w:sz w:val="32"/>
          <w:szCs w:val="32"/>
        </w:rPr>
        <w:t>定期评价和动态评价相结合的方式。</w:t>
      </w:r>
    </w:p>
    <w:p>
      <w:pPr>
        <w:widowControl/>
        <w:tabs>
          <w:tab w:val="left" w:pos="2235"/>
          <w:tab w:val="center" w:pos="4153"/>
        </w:tabs>
        <w:autoSpaceDN w:val="0"/>
        <w:ind w:firstLine="480"/>
        <w:rPr>
          <w:rFonts w:hint="eastAsia" w:ascii="仿宋" w:hAnsi="仿宋" w:eastAsia="仿宋" w:cs="仿宋"/>
          <w:color w:val="auto"/>
          <w:sz w:val="32"/>
          <w:szCs w:val="32"/>
        </w:rPr>
      </w:pPr>
      <w:r>
        <w:rPr>
          <w:rFonts w:hint="eastAsia" w:ascii="黑体" w:hAnsi="黑体" w:eastAsia="黑体" w:cs="黑体"/>
          <w:b w:val="0"/>
          <w:bCs w:val="0"/>
          <w:color w:val="auto"/>
          <w:sz w:val="32"/>
          <w:szCs w:val="32"/>
        </w:rPr>
        <w:t>第十条</w:t>
      </w:r>
      <w:r>
        <w:rPr>
          <w:rFonts w:hint="eastAsia" w:ascii="仿宋" w:hAnsi="仿宋" w:eastAsia="仿宋" w:cs="仿宋"/>
          <w:color w:val="auto"/>
          <w:sz w:val="32"/>
          <w:szCs w:val="32"/>
        </w:rPr>
        <w:t xml:space="preserve"> 定期评价工作每年开展一次，对公路施工企业上一年度（1月1日至12月31日期间）的信用行为进行评价。</w:t>
      </w:r>
    </w:p>
    <w:p>
      <w:pPr>
        <w:widowControl/>
        <w:tabs>
          <w:tab w:val="left" w:pos="2235"/>
          <w:tab w:val="center" w:pos="4153"/>
        </w:tabs>
        <w:autoSpaceDN w:val="0"/>
        <w:ind w:firstLine="480"/>
        <w:rPr>
          <w:rFonts w:hint="eastAsia" w:ascii="仿宋" w:hAnsi="仿宋" w:eastAsia="仿宋" w:cs="仿宋"/>
          <w:color w:val="auto"/>
          <w:sz w:val="32"/>
          <w:szCs w:val="32"/>
        </w:rPr>
      </w:pPr>
      <w:r>
        <w:rPr>
          <w:rFonts w:hint="eastAsia" w:ascii="仿宋" w:hAnsi="仿宋" w:eastAsia="仿宋" w:cs="仿宋"/>
          <w:color w:val="auto"/>
          <w:sz w:val="32"/>
          <w:szCs w:val="32"/>
        </w:rPr>
        <w:t>厅质监站和省公路局于每年1月底前分别完成上一年全省高速公路、干线公路施工企业信用初步评价，确定其得分及信用等级，并将结果报省交通运输厅。其中，参与高速公路和干线公路的施工企业</w:t>
      </w:r>
      <w:r>
        <w:rPr>
          <w:rFonts w:hint="eastAsia" w:ascii="仿宋" w:hAnsi="仿宋" w:eastAsia="仿宋" w:cs="仿宋"/>
          <w:color w:val="auto"/>
          <w:sz w:val="32"/>
          <w:szCs w:val="32"/>
          <w:lang w:val="en-US" w:eastAsia="zh-CN"/>
        </w:rPr>
        <w:t>分别由</w:t>
      </w:r>
      <w:r>
        <w:rPr>
          <w:rFonts w:hint="eastAsia" w:ascii="仿宋" w:hAnsi="仿宋" w:eastAsia="仿宋" w:cs="仿宋"/>
          <w:color w:val="auto"/>
          <w:sz w:val="32"/>
          <w:szCs w:val="32"/>
        </w:rPr>
        <w:t>厅质监站</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省公路局按类别</w:t>
      </w:r>
      <w:r>
        <w:rPr>
          <w:rFonts w:hint="eastAsia" w:ascii="仿宋" w:hAnsi="仿宋" w:eastAsia="仿宋" w:cs="仿宋"/>
          <w:color w:val="auto"/>
          <w:sz w:val="32"/>
          <w:szCs w:val="32"/>
        </w:rPr>
        <w:t>进行汇总、评价</w:t>
      </w:r>
      <w:r>
        <w:rPr>
          <w:rFonts w:hint="eastAsia" w:ascii="仿宋" w:hAnsi="仿宋" w:eastAsia="仿宋" w:cs="仿宋"/>
          <w:color w:val="auto"/>
          <w:sz w:val="32"/>
          <w:szCs w:val="32"/>
          <w:lang w:eastAsia="zh-CN"/>
        </w:rPr>
        <w:t>。</w:t>
      </w:r>
    </w:p>
    <w:p>
      <w:pPr>
        <w:widowControl/>
        <w:tabs>
          <w:tab w:val="left" w:pos="2235"/>
          <w:tab w:val="center" w:pos="4153"/>
        </w:tabs>
        <w:autoSpaceDN w:val="0"/>
        <w:ind w:firstLine="48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省交通运输厅于每年2月底前完成全省公路施工企业信用综合评价</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于3月底前将</w:t>
      </w:r>
      <w:r>
        <w:rPr>
          <w:rFonts w:hint="eastAsia" w:ascii="仿宋" w:hAnsi="仿宋" w:eastAsia="仿宋" w:cs="仿宋"/>
          <w:b w:val="0"/>
          <w:bCs w:val="0"/>
          <w:color w:val="auto"/>
          <w:sz w:val="32"/>
          <w:szCs w:val="32"/>
          <w:lang w:val="en-US" w:eastAsia="zh-CN"/>
        </w:rPr>
        <w:t>高速公路施工企业</w:t>
      </w:r>
      <w:r>
        <w:rPr>
          <w:rFonts w:hint="eastAsia" w:ascii="仿宋" w:hAnsi="仿宋" w:eastAsia="仿宋" w:cs="仿宋"/>
          <w:b w:val="0"/>
          <w:bCs w:val="0"/>
          <w:color w:val="auto"/>
          <w:sz w:val="32"/>
          <w:szCs w:val="32"/>
        </w:rPr>
        <w:t>的公路施工企业评价结果上报交通运输部。</w:t>
      </w:r>
    </w:p>
    <w:p>
      <w:pPr>
        <w:widowControl/>
        <w:tabs>
          <w:tab w:val="left" w:pos="2235"/>
          <w:tab w:val="center" w:pos="4153"/>
        </w:tabs>
        <w:autoSpaceDN w:val="0"/>
        <w:ind w:firstLine="480"/>
        <w:rPr>
          <w:rFonts w:hint="eastAsia" w:ascii="仿宋" w:hAnsi="仿宋" w:eastAsia="仿宋" w:cs="仿宋"/>
          <w:color w:val="auto"/>
          <w:sz w:val="32"/>
          <w:szCs w:val="32"/>
        </w:rPr>
      </w:pPr>
      <w:r>
        <w:rPr>
          <w:rFonts w:hint="eastAsia" w:ascii="黑体" w:hAnsi="黑体" w:eastAsia="黑体" w:cs="黑体"/>
          <w:b w:val="0"/>
          <w:bCs w:val="0"/>
          <w:color w:val="auto"/>
          <w:sz w:val="32"/>
          <w:szCs w:val="32"/>
        </w:rPr>
        <w:t>第十一条</w:t>
      </w:r>
      <w:r>
        <w:rPr>
          <w:rFonts w:hint="eastAsia" w:ascii="仿宋" w:hAnsi="仿宋" w:eastAsia="仿宋" w:cs="仿宋"/>
          <w:color w:val="auto"/>
          <w:sz w:val="32"/>
          <w:szCs w:val="32"/>
        </w:rPr>
        <w:t xml:space="preserve"> 公路施工企业信用评价等级分为AA、A、B、C、D五个等级，各信用等级对应的企业评分X分别为：</w:t>
      </w:r>
    </w:p>
    <w:p>
      <w:pPr>
        <w:widowControl/>
        <w:tabs>
          <w:tab w:val="left" w:pos="2235"/>
          <w:tab w:val="center" w:pos="4153"/>
        </w:tabs>
        <w:autoSpaceDN w:val="0"/>
        <w:ind w:firstLine="480"/>
        <w:rPr>
          <w:rFonts w:hint="eastAsia" w:ascii="仿宋" w:hAnsi="仿宋" w:eastAsia="仿宋" w:cs="仿宋"/>
          <w:color w:val="auto"/>
          <w:sz w:val="32"/>
          <w:szCs w:val="32"/>
        </w:rPr>
      </w:pPr>
      <w:r>
        <w:rPr>
          <w:rFonts w:hint="eastAsia" w:ascii="仿宋" w:hAnsi="仿宋" w:eastAsia="仿宋" w:cs="仿宋"/>
          <w:color w:val="auto"/>
          <w:sz w:val="32"/>
          <w:szCs w:val="32"/>
        </w:rPr>
        <w:t>AA级：95分≤X≤100分，信用好；</w:t>
      </w:r>
    </w:p>
    <w:p>
      <w:pPr>
        <w:widowControl/>
        <w:tabs>
          <w:tab w:val="left" w:pos="2235"/>
          <w:tab w:val="center" w:pos="4153"/>
        </w:tabs>
        <w:autoSpaceDN w:val="0"/>
        <w:ind w:firstLine="480"/>
        <w:rPr>
          <w:rFonts w:hint="eastAsia" w:ascii="仿宋" w:hAnsi="仿宋" w:eastAsia="仿宋" w:cs="仿宋"/>
          <w:color w:val="auto"/>
          <w:sz w:val="32"/>
          <w:szCs w:val="32"/>
        </w:rPr>
      </w:pPr>
      <w:r>
        <w:rPr>
          <w:rFonts w:hint="eastAsia" w:ascii="仿宋" w:hAnsi="仿宋" w:eastAsia="仿宋" w:cs="仿宋"/>
          <w:color w:val="auto"/>
          <w:sz w:val="32"/>
          <w:szCs w:val="32"/>
        </w:rPr>
        <w:t>A级：85分≤X＜95分，信用较好；</w:t>
      </w:r>
    </w:p>
    <w:p>
      <w:pPr>
        <w:widowControl/>
        <w:tabs>
          <w:tab w:val="left" w:pos="2235"/>
          <w:tab w:val="center" w:pos="4153"/>
        </w:tabs>
        <w:autoSpaceDN w:val="0"/>
        <w:ind w:firstLine="480"/>
        <w:rPr>
          <w:rFonts w:hint="eastAsia" w:ascii="仿宋" w:hAnsi="仿宋" w:eastAsia="仿宋" w:cs="仿宋"/>
          <w:color w:val="auto"/>
          <w:sz w:val="32"/>
          <w:szCs w:val="32"/>
        </w:rPr>
      </w:pPr>
      <w:r>
        <w:rPr>
          <w:rFonts w:hint="eastAsia" w:ascii="仿宋" w:hAnsi="仿宋" w:eastAsia="仿宋" w:cs="仿宋"/>
          <w:color w:val="auto"/>
          <w:sz w:val="32"/>
          <w:szCs w:val="32"/>
        </w:rPr>
        <w:t>B级：75分≤X＜85分，信用一般；</w:t>
      </w:r>
    </w:p>
    <w:p>
      <w:pPr>
        <w:widowControl/>
        <w:tabs>
          <w:tab w:val="left" w:pos="2235"/>
          <w:tab w:val="center" w:pos="4153"/>
        </w:tabs>
        <w:autoSpaceDN w:val="0"/>
        <w:ind w:firstLine="480"/>
        <w:rPr>
          <w:rFonts w:hint="eastAsia" w:ascii="仿宋" w:hAnsi="仿宋" w:eastAsia="仿宋" w:cs="仿宋"/>
          <w:color w:val="auto"/>
          <w:sz w:val="32"/>
          <w:szCs w:val="32"/>
        </w:rPr>
      </w:pPr>
      <w:r>
        <w:rPr>
          <w:rFonts w:hint="eastAsia" w:ascii="仿宋" w:hAnsi="仿宋" w:eastAsia="仿宋" w:cs="仿宋"/>
          <w:color w:val="auto"/>
          <w:sz w:val="32"/>
          <w:szCs w:val="32"/>
        </w:rPr>
        <w:t>C级：60分≤X＜75分，信用较差；</w:t>
      </w:r>
    </w:p>
    <w:p>
      <w:pPr>
        <w:widowControl/>
        <w:tabs>
          <w:tab w:val="left" w:pos="2235"/>
          <w:tab w:val="center" w:pos="4153"/>
        </w:tabs>
        <w:autoSpaceDN w:val="0"/>
        <w:ind w:firstLine="480"/>
        <w:rPr>
          <w:rFonts w:hint="eastAsia" w:ascii="仿宋" w:hAnsi="仿宋" w:eastAsia="仿宋" w:cs="仿宋"/>
          <w:color w:val="auto"/>
          <w:sz w:val="32"/>
          <w:szCs w:val="32"/>
        </w:rPr>
      </w:pPr>
      <w:r>
        <w:rPr>
          <w:rFonts w:hint="eastAsia" w:ascii="仿宋" w:hAnsi="仿宋" w:eastAsia="仿宋" w:cs="仿宋"/>
          <w:color w:val="auto"/>
          <w:sz w:val="32"/>
          <w:szCs w:val="32"/>
        </w:rPr>
        <w:t>D级：X＜60分，信用差。</w:t>
      </w:r>
    </w:p>
    <w:p>
      <w:pPr>
        <w:widowControl/>
        <w:tabs>
          <w:tab w:val="left" w:pos="2235"/>
          <w:tab w:val="center" w:pos="4153"/>
        </w:tabs>
        <w:autoSpaceDN w:val="0"/>
        <w:ind w:firstLine="480"/>
        <w:rPr>
          <w:rFonts w:hint="eastAsia" w:ascii="仿宋" w:hAnsi="仿宋" w:eastAsia="仿宋" w:cs="仿宋"/>
          <w:color w:val="auto"/>
          <w:sz w:val="32"/>
          <w:szCs w:val="32"/>
        </w:rPr>
      </w:pPr>
      <w:r>
        <w:rPr>
          <w:rFonts w:hint="eastAsia" w:ascii="黑体" w:hAnsi="黑体" w:eastAsia="黑体" w:cs="黑体"/>
          <w:b w:val="0"/>
          <w:bCs w:val="0"/>
          <w:color w:val="auto"/>
          <w:sz w:val="32"/>
          <w:szCs w:val="32"/>
        </w:rPr>
        <w:t xml:space="preserve">第十二条 </w:t>
      </w:r>
      <w:r>
        <w:rPr>
          <w:rFonts w:hint="eastAsia" w:ascii="仿宋" w:hAnsi="仿宋" w:eastAsia="仿宋" w:cs="仿宋"/>
          <w:color w:val="auto"/>
          <w:sz w:val="32"/>
          <w:szCs w:val="32"/>
        </w:rPr>
        <w:t>评价内容由公路施工企业投标行为、履约行为和其他行为构成，具体见《公路施工企业信用行为评定标准》（附件1）。</w:t>
      </w:r>
    </w:p>
    <w:p>
      <w:pPr>
        <w:widowControl/>
        <w:tabs>
          <w:tab w:val="left" w:pos="2235"/>
          <w:tab w:val="center" w:pos="4153"/>
        </w:tabs>
        <w:autoSpaceDN w:val="0"/>
        <w:ind w:firstLine="480"/>
        <w:rPr>
          <w:rFonts w:hint="eastAsia" w:ascii="仿宋" w:hAnsi="仿宋" w:eastAsia="仿宋" w:cs="仿宋"/>
          <w:color w:val="auto"/>
          <w:sz w:val="32"/>
          <w:szCs w:val="32"/>
        </w:rPr>
      </w:pPr>
      <w:r>
        <w:rPr>
          <w:rFonts w:hint="eastAsia" w:ascii="仿宋" w:hAnsi="仿宋" w:eastAsia="仿宋" w:cs="仿宋"/>
          <w:color w:val="auto"/>
          <w:sz w:val="32"/>
          <w:szCs w:val="32"/>
        </w:rPr>
        <w:t>投标行为以公路施工企业单次投标为评价单元，履约行为以单个施工合同段为评价单元。</w:t>
      </w:r>
    </w:p>
    <w:p>
      <w:pPr>
        <w:widowControl/>
        <w:tabs>
          <w:tab w:val="left" w:pos="2235"/>
          <w:tab w:val="center" w:pos="4153"/>
        </w:tabs>
        <w:autoSpaceDN w:val="0"/>
        <w:ind w:firstLine="480"/>
        <w:rPr>
          <w:rFonts w:hint="eastAsia" w:ascii="仿宋" w:hAnsi="仿宋" w:eastAsia="仿宋" w:cs="仿宋"/>
          <w:color w:val="auto"/>
          <w:sz w:val="32"/>
          <w:szCs w:val="32"/>
        </w:rPr>
      </w:pPr>
      <w:r>
        <w:rPr>
          <w:rFonts w:hint="eastAsia" w:ascii="黑体" w:hAnsi="黑体" w:eastAsia="黑体" w:cs="黑体"/>
          <w:b w:val="0"/>
          <w:bCs w:val="0"/>
          <w:color w:val="auto"/>
          <w:sz w:val="32"/>
          <w:szCs w:val="32"/>
        </w:rPr>
        <w:t xml:space="preserve">第十三条 </w:t>
      </w:r>
      <w:r>
        <w:rPr>
          <w:rFonts w:hint="eastAsia" w:ascii="仿宋" w:hAnsi="仿宋" w:eastAsia="仿宋" w:cs="仿宋"/>
          <w:color w:val="auto"/>
          <w:sz w:val="32"/>
          <w:szCs w:val="32"/>
        </w:rPr>
        <w:t>投标行为和履约行为初始分值为100分，实行累计扣分制。若有其他行为的，从企业信用评价总得分中扣除。具体的评分计算见《陕西省公路施工企业信用行为评价计算方法》（附件2）。</w:t>
      </w:r>
    </w:p>
    <w:p>
      <w:pPr>
        <w:keepNext w:val="0"/>
        <w:keepLines w:val="0"/>
        <w:pageBreakBefore w:val="0"/>
        <w:tabs>
          <w:tab w:val="left" w:pos="2235"/>
          <w:tab w:val="center" w:pos="4153"/>
        </w:tabs>
        <w:kinsoku/>
        <w:wordWrap/>
        <w:overflowPunct/>
        <w:topLinePunct w:val="0"/>
        <w:autoSpaceDE/>
        <w:autoSpaceDN w:val="0"/>
        <w:bidi w:val="0"/>
        <w:adjustRightInd/>
        <w:snapToGrid/>
        <w:spacing w:line="600" w:lineRule="exact"/>
        <w:ind w:left="0" w:leftChars="0" w:right="0" w:rightChars="0" w:firstLine="480" w:firstLineChars="0"/>
        <w:jc w:val="both"/>
        <w:textAlignment w:val="auto"/>
        <w:outlineLvl w:val="9"/>
        <w:rPr>
          <w:rFonts w:hint="eastAsia" w:ascii="仿宋" w:hAnsi="仿宋" w:eastAsia="仿宋" w:cs="仿宋"/>
          <w:color w:val="auto"/>
          <w:sz w:val="32"/>
          <w:szCs w:val="32"/>
        </w:rPr>
      </w:pPr>
      <w:r>
        <w:rPr>
          <w:rFonts w:hint="eastAsia" w:ascii="黑体" w:hAnsi="黑体" w:eastAsia="黑体" w:cs="黑体"/>
          <w:b w:val="0"/>
          <w:bCs w:val="0"/>
          <w:color w:val="auto"/>
          <w:sz w:val="32"/>
          <w:szCs w:val="32"/>
        </w:rPr>
        <w:t>第十四条</w:t>
      </w:r>
      <w:r>
        <w:rPr>
          <w:rFonts w:hint="eastAsia" w:ascii="仿宋" w:hAnsi="仿宋" w:eastAsia="仿宋" w:cs="仿宋"/>
          <w:color w:val="auto"/>
          <w:sz w:val="32"/>
          <w:szCs w:val="32"/>
        </w:rPr>
        <w:t xml:space="preserve"> 公路施工企业投标行为由招标人负责评价，履约行为由项目法人或现场管理机构结合项目日常管理进行评价，其他行为由负责项目监管的省交通运输厅、省公路局、各</w:t>
      </w:r>
      <w:r>
        <w:rPr>
          <w:rFonts w:hint="eastAsia" w:ascii="仿宋" w:hAnsi="仿宋" w:eastAsia="仿宋" w:cs="仿宋"/>
          <w:color w:val="auto"/>
          <w:sz w:val="32"/>
          <w:szCs w:val="32"/>
          <w:lang w:eastAsia="zh-CN"/>
        </w:rPr>
        <w:t>市（区）</w:t>
      </w:r>
      <w:r>
        <w:rPr>
          <w:rFonts w:hint="eastAsia" w:ascii="仿宋" w:hAnsi="仿宋" w:eastAsia="仿宋" w:cs="仿宋"/>
          <w:color w:val="auto"/>
          <w:sz w:val="32"/>
          <w:szCs w:val="32"/>
        </w:rPr>
        <w:t>交通运输局、厅质监站、市质监站负责评价。</w:t>
      </w:r>
    </w:p>
    <w:p>
      <w:pPr>
        <w:keepNext w:val="0"/>
        <w:keepLines w:val="0"/>
        <w:pageBreakBefore w:val="0"/>
        <w:widowControl/>
        <w:tabs>
          <w:tab w:val="left" w:pos="2235"/>
          <w:tab w:val="center" w:pos="4153"/>
        </w:tabs>
        <w:kinsoku/>
        <w:wordWrap/>
        <w:overflowPunct/>
        <w:topLinePunct w:val="0"/>
        <w:autoSpaceDE/>
        <w:autoSpaceDN w:val="0"/>
        <w:bidi w:val="0"/>
        <w:adjustRightInd/>
        <w:snapToGrid/>
        <w:spacing w:line="600" w:lineRule="exact"/>
        <w:ind w:left="0" w:leftChars="0" w:right="0" w:rightChars="0" w:firstLine="480" w:firstLineChars="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招标人、项目法人、</w:t>
      </w:r>
      <w:r>
        <w:rPr>
          <w:rFonts w:hint="eastAsia" w:ascii="仿宋" w:hAnsi="仿宋" w:eastAsia="仿宋" w:cs="仿宋"/>
          <w:color w:val="auto"/>
          <w:sz w:val="32"/>
          <w:szCs w:val="32"/>
          <w:lang w:eastAsia="zh-CN"/>
        </w:rPr>
        <w:t>现场管理机构、</w:t>
      </w:r>
      <w:r>
        <w:rPr>
          <w:rFonts w:hint="eastAsia" w:ascii="仿宋" w:hAnsi="仿宋" w:eastAsia="仿宋" w:cs="仿宋"/>
          <w:color w:val="auto"/>
          <w:sz w:val="32"/>
          <w:szCs w:val="32"/>
        </w:rPr>
        <w:t>负责项目监管的省交通运输厅、省公路局、各</w:t>
      </w:r>
      <w:r>
        <w:rPr>
          <w:rFonts w:hint="eastAsia" w:ascii="仿宋" w:hAnsi="仿宋" w:eastAsia="仿宋" w:cs="仿宋"/>
          <w:color w:val="auto"/>
          <w:sz w:val="32"/>
          <w:szCs w:val="32"/>
          <w:lang w:eastAsia="zh-CN"/>
        </w:rPr>
        <w:t>市（区）</w:t>
      </w:r>
      <w:r>
        <w:rPr>
          <w:rFonts w:hint="eastAsia" w:ascii="仿宋" w:hAnsi="仿宋" w:eastAsia="仿宋" w:cs="仿宋"/>
          <w:color w:val="auto"/>
          <w:sz w:val="32"/>
          <w:szCs w:val="32"/>
        </w:rPr>
        <w:t>交通运输局、厅质监站、市质监站等评价人对</w:t>
      </w:r>
      <w:r>
        <w:rPr>
          <w:rFonts w:hint="eastAsia" w:ascii="仿宋" w:hAnsi="仿宋" w:eastAsia="仿宋" w:cs="仿宋"/>
          <w:color w:val="auto"/>
          <w:sz w:val="32"/>
          <w:szCs w:val="32"/>
          <w:lang w:eastAsia="zh-CN"/>
        </w:rPr>
        <w:t>各自</w:t>
      </w:r>
      <w:r>
        <w:rPr>
          <w:rFonts w:hint="eastAsia" w:ascii="仿宋" w:hAnsi="仿宋" w:eastAsia="仿宋" w:cs="仿宋"/>
          <w:color w:val="auto"/>
          <w:sz w:val="32"/>
          <w:szCs w:val="32"/>
        </w:rPr>
        <w:t>评价结果签认负责。</w:t>
      </w:r>
    </w:p>
    <w:p>
      <w:pPr>
        <w:keepNext w:val="0"/>
        <w:keepLines w:val="0"/>
        <w:pageBreakBefore w:val="0"/>
        <w:widowControl/>
        <w:tabs>
          <w:tab w:val="left" w:pos="2235"/>
          <w:tab w:val="center" w:pos="4153"/>
        </w:tabs>
        <w:kinsoku/>
        <w:wordWrap/>
        <w:overflowPunct/>
        <w:topLinePunct w:val="0"/>
        <w:autoSpaceDE/>
        <w:autoSpaceDN w:val="0"/>
        <w:bidi w:val="0"/>
        <w:adjustRightInd/>
        <w:snapToGrid/>
        <w:spacing w:line="600" w:lineRule="exact"/>
        <w:ind w:left="0" w:leftChars="0" w:right="0" w:rightChars="0" w:firstLine="480" w:firstLineChars="0"/>
        <w:jc w:val="both"/>
        <w:textAlignment w:val="auto"/>
        <w:outlineLvl w:val="9"/>
        <w:rPr>
          <w:rFonts w:hint="eastAsia" w:ascii="仿宋" w:hAnsi="仿宋" w:eastAsia="仿宋" w:cs="仿宋"/>
          <w:color w:val="auto"/>
          <w:sz w:val="32"/>
          <w:szCs w:val="32"/>
        </w:rPr>
      </w:pPr>
      <w:r>
        <w:rPr>
          <w:rFonts w:hint="eastAsia" w:ascii="黑体" w:hAnsi="黑体" w:eastAsia="黑体" w:cs="黑体"/>
          <w:b w:val="0"/>
          <w:bCs w:val="0"/>
          <w:color w:val="auto"/>
          <w:sz w:val="32"/>
          <w:szCs w:val="32"/>
        </w:rPr>
        <w:t xml:space="preserve">第十五条 </w:t>
      </w:r>
      <w:r>
        <w:rPr>
          <w:rFonts w:hint="eastAsia" w:ascii="仿宋" w:hAnsi="仿宋" w:eastAsia="仿宋" w:cs="仿宋"/>
          <w:color w:val="auto"/>
          <w:sz w:val="32"/>
          <w:szCs w:val="32"/>
        </w:rPr>
        <w:t>公路施工企业信用评价的依据为：</w:t>
      </w:r>
    </w:p>
    <w:p>
      <w:pPr>
        <w:keepNext w:val="0"/>
        <w:keepLines w:val="0"/>
        <w:pageBreakBefore w:val="0"/>
        <w:widowControl/>
        <w:tabs>
          <w:tab w:val="left" w:pos="2235"/>
          <w:tab w:val="center" w:pos="4153"/>
        </w:tabs>
        <w:kinsoku/>
        <w:wordWrap/>
        <w:overflowPunct/>
        <w:topLinePunct w:val="0"/>
        <w:autoSpaceDE/>
        <w:autoSpaceDN w:val="0"/>
        <w:bidi w:val="0"/>
        <w:adjustRightInd/>
        <w:snapToGrid/>
        <w:spacing w:line="600" w:lineRule="exact"/>
        <w:ind w:left="0" w:leftChars="0" w:right="0" w:rightChars="0" w:firstLine="480" w:firstLineChars="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（一）省交通运输厅、省公路局、各</w:t>
      </w:r>
      <w:r>
        <w:rPr>
          <w:rFonts w:hint="eastAsia" w:ascii="仿宋" w:hAnsi="仿宋" w:eastAsia="仿宋" w:cs="仿宋"/>
          <w:color w:val="auto"/>
          <w:sz w:val="32"/>
          <w:szCs w:val="32"/>
          <w:lang w:eastAsia="zh-CN"/>
        </w:rPr>
        <w:t>市（区）</w:t>
      </w:r>
      <w:r>
        <w:rPr>
          <w:rFonts w:hint="eastAsia" w:ascii="仿宋" w:hAnsi="仿宋" w:eastAsia="仿宋" w:cs="仿宋"/>
          <w:color w:val="auto"/>
          <w:sz w:val="32"/>
          <w:szCs w:val="32"/>
        </w:rPr>
        <w:t>交通运输局、厅质监站、市质监站</w:t>
      </w:r>
      <w:r>
        <w:rPr>
          <w:rFonts w:hint="eastAsia" w:ascii="仿宋" w:hAnsi="仿宋" w:eastAsia="仿宋" w:cs="仿宋"/>
          <w:color w:val="auto"/>
          <w:sz w:val="32"/>
          <w:szCs w:val="32"/>
          <w:lang w:val="en-US" w:eastAsia="zh-CN"/>
        </w:rPr>
        <w:t>督查、</w:t>
      </w:r>
      <w:r>
        <w:rPr>
          <w:rFonts w:hint="eastAsia" w:ascii="仿宋" w:hAnsi="仿宋" w:eastAsia="仿宋" w:cs="仿宋"/>
          <w:color w:val="auto"/>
          <w:sz w:val="32"/>
          <w:szCs w:val="32"/>
        </w:rPr>
        <w:t>检查结果或奖罚通报、决定；</w:t>
      </w:r>
    </w:p>
    <w:p>
      <w:pPr>
        <w:keepNext w:val="0"/>
        <w:keepLines w:val="0"/>
        <w:pageBreakBefore w:val="0"/>
        <w:widowControl/>
        <w:tabs>
          <w:tab w:val="left" w:pos="2235"/>
          <w:tab w:val="center" w:pos="4153"/>
        </w:tabs>
        <w:kinsoku/>
        <w:wordWrap/>
        <w:overflowPunct/>
        <w:topLinePunct w:val="0"/>
        <w:autoSpaceDE/>
        <w:autoSpaceDN w:val="0"/>
        <w:bidi w:val="0"/>
        <w:adjustRightInd/>
        <w:snapToGrid/>
        <w:spacing w:line="600" w:lineRule="exact"/>
        <w:ind w:left="0" w:leftChars="0" w:right="0" w:rightChars="0" w:firstLine="480" w:firstLineChars="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（二）招标人、项目法人</w:t>
      </w:r>
      <w:r>
        <w:rPr>
          <w:rFonts w:hint="eastAsia" w:ascii="仿宋" w:hAnsi="仿宋" w:eastAsia="仿宋" w:cs="仿宋"/>
          <w:color w:val="auto"/>
          <w:sz w:val="32"/>
          <w:szCs w:val="32"/>
          <w:lang w:eastAsia="zh-CN"/>
        </w:rPr>
        <w:t>、现场管理机构、监理单位</w:t>
      </w:r>
      <w:r>
        <w:rPr>
          <w:rFonts w:hint="eastAsia" w:ascii="仿宋" w:hAnsi="仿宋" w:eastAsia="仿宋" w:cs="仿宋"/>
          <w:color w:val="auto"/>
          <w:sz w:val="32"/>
          <w:szCs w:val="32"/>
        </w:rPr>
        <w:t>管理工作中的正式文件；</w:t>
      </w:r>
    </w:p>
    <w:p>
      <w:pPr>
        <w:keepNext w:val="0"/>
        <w:keepLines w:val="0"/>
        <w:pageBreakBefore w:val="0"/>
        <w:widowControl/>
        <w:tabs>
          <w:tab w:val="left" w:pos="2235"/>
          <w:tab w:val="center" w:pos="4153"/>
        </w:tabs>
        <w:kinsoku/>
        <w:wordWrap/>
        <w:overflowPunct/>
        <w:topLinePunct w:val="0"/>
        <w:autoSpaceDE/>
        <w:autoSpaceDN w:val="0"/>
        <w:bidi w:val="0"/>
        <w:adjustRightInd/>
        <w:snapToGrid/>
        <w:spacing w:line="600" w:lineRule="exact"/>
        <w:ind w:left="0" w:leftChars="0" w:right="0" w:rightChars="0" w:firstLine="480" w:firstLineChars="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（三）举报、投诉或质量、安全事故调查处理结果；</w:t>
      </w:r>
    </w:p>
    <w:p>
      <w:pPr>
        <w:keepNext w:val="0"/>
        <w:keepLines w:val="0"/>
        <w:pageBreakBefore w:val="0"/>
        <w:widowControl/>
        <w:tabs>
          <w:tab w:val="left" w:pos="2235"/>
          <w:tab w:val="center" w:pos="4153"/>
        </w:tabs>
        <w:kinsoku/>
        <w:wordWrap/>
        <w:overflowPunct/>
        <w:topLinePunct w:val="0"/>
        <w:autoSpaceDE/>
        <w:autoSpaceDN w:val="0"/>
        <w:bidi w:val="0"/>
        <w:adjustRightInd/>
        <w:snapToGrid/>
        <w:spacing w:line="600" w:lineRule="exact"/>
        <w:ind w:left="0" w:leftChars="0" w:right="0" w:rightChars="0" w:firstLine="480" w:firstLineChars="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（四）司法机关做出的司法认定及审计部门的审计意见；</w:t>
      </w:r>
    </w:p>
    <w:p>
      <w:pPr>
        <w:keepNext w:val="0"/>
        <w:keepLines w:val="0"/>
        <w:pageBreakBefore w:val="0"/>
        <w:widowControl/>
        <w:tabs>
          <w:tab w:val="left" w:pos="2235"/>
          <w:tab w:val="center" w:pos="4153"/>
        </w:tabs>
        <w:kinsoku/>
        <w:wordWrap/>
        <w:overflowPunct/>
        <w:topLinePunct w:val="0"/>
        <w:autoSpaceDE/>
        <w:autoSpaceDN w:val="0"/>
        <w:bidi w:val="0"/>
        <w:adjustRightInd/>
        <w:snapToGrid/>
        <w:spacing w:line="600" w:lineRule="exact"/>
        <w:ind w:left="0" w:leftChars="0" w:right="0" w:rightChars="0" w:firstLine="480" w:firstLineChars="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（五）其他可以认定不良行为的有关资料。</w:t>
      </w:r>
    </w:p>
    <w:p>
      <w:pPr>
        <w:keepNext w:val="0"/>
        <w:keepLines w:val="0"/>
        <w:pageBreakBefore w:val="0"/>
        <w:widowControl/>
        <w:tabs>
          <w:tab w:val="left" w:pos="2235"/>
          <w:tab w:val="center" w:pos="4153"/>
        </w:tabs>
        <w:kinsoku/>
        <w:wordWrap/>
        <w:overflowPunct/>
        <w:topLinePunct w:val="0"/>
        <w:autoSpaceDE/>
        <w:autoSpaceDN w:val="0"/>
        <w:bidi w:val="0"/>
        <w:adjustRightInd/>
        <w:snapToGrid/>
        <w:spacing w:line="600" w:lineRule="exact"/>
        <w:ind w:left="0" w:leftChars="0" w:right="0" w:rightChars="0" w:firstLine="480" w:firstLineChars="0"/>
        <w:jc w:val="both"/>
        <w:textAlignment w:val="auto"/>
        <w:outlineLvl w:val="9"/>
        <w:rPr>
          <w:rFonts w:hint="eastAsia" w:ascii="仿宋" w:hAnsi="仿宋" w:eastAsia="仿宋" w:cs="仿宋"/>
          <w:color w:val="auto"/>
          <w:sz w:val="32"/>
          <w:szCs w:val="32"/>
        </w:rPr>
      </w:pPr>
      <w:r>
        <w:rPr>
          <w:rFonts w:hint="eastAsia" w:ascii="黑体" w:hAnsi="黑体" w:eastAsia="黑体" w:cs="黑体"/>
          <w:b w:val="0"/>
          <w:bCs w:val="0"/>
          <w:color w:val="auto"/>
          <w:sz w:val="32"/>
          <w:szCs w:val="32"/>
        </w:rPr>
        <w:t>第十六条</w:t>
      </w:r>
      <w:r>
        <w:rPr>
          <w:rFonts w:hint="eastAsia" w:ascii="仿宋" w:hAnsi="仿宋" w:eastAsia="仿宋" w:cs="仿宋"/>
          <w:color w:val="auto"/>
          <w:sz w:val="32"/>
          <w:szCs w:val="32"/>
        </w:rPr>
        <w:t xml:space="preserve"> 公路施工企业的信用评价程序为：</w:t>
      </w:r>
    </w:p>
    <w:p>
      <w:pPr>
        <w:keepNext w:val="0"/>
        <w:keepLines w:val="0"/>
        <w:pageBreakBefore w:val="0"/>
        <w:widowControl/>
        <w:tabs>
          <w:tab w:val="left" w:pos="2235"/>
          <w:tab w:val="center" w:pos="4153"/>
        </w:tabs>
        <w:kinsoku/>
        <w:wordWrap/>
        <w:overflowPunct/>
        <w:topLinePunct w:val="0"/>
        <w:autoSpaceDE/>
        <w:autoSpaceDN w:val="0"/>
        <w:bidi w:val="0"/>
        <w:adjustRightInd/>
        <w:snapToGrid/>
        <w:spacing w:line="600" w:lineRule="exact"/>
        <w:ind w:left="0" w:leftChars="0" w:right="0" w:rightChars="0" w:firstLine="480" w:firstLineChars="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（一）投标行为评价。招标人完成每次招标工作后，仅对存在不良投标行为的公路施工企业进行投标行为评价。联合体有不良投标行为的，其各方均按相应标准扣分。</w:t>
      </w:r>
    </w:p>
    <w:p>
      <w:pPr>
        <w:keepNext w:val="0"/>
        <w:keepLines w:val="0"/>
        <w:pageBreakBefore w:val="0"/>
        <w:widowControl/>
        <w:tabs>
          <w:tab w:val="left" w:pos="2235"/>
          <w:tab w:val="center" w:pos="4153"/>
        </w:tabs>
        <w:kinsoku/>
        <w:wordWrap/>
        <w:overflowPunct/>
        <w:topLinePunct w:val="0"/>
        <w:autoSpaceDE/>
        <w:autoSpaceDN w:val="0"/>
        <w:bidi w:val="0"/>
        <w:adjustRightInd/>
        <w:snapToGrid/>
        <w:spacing w:line="600" w:lineRule="exact"/>
        <w:ind w:left="0" w:leftChars="0" w:right="0" w:rightChars="0" w:firstLine="480" w:firstLineChars="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（二）履约行为评价。结合项目日常管理情况，现场管理机构对参与项目建设的公路施工企业当年度的履约行为实时记录并进行评价，并报项目法人或各</w:t>
      </w:r>
      <w:r>
        <w:rPr>
          <w:rFonts w:hint="eastAsia" w:ascii="仿宋" w:hAnsi="仿宋" w:eastAsia="仿宋" w:cs="仿宋"/>
          <w:color w:val="auto"/>
          <w:sz w:val="32"/>
          <w:szCs w:val="32"/>
          <w:lang w:eastAsia="zh-CN"/>
        </w:rPr>
        <w:t>市（区）</w:t>
      </w:r>
      <w:r>
        <w:rPr>
          <w:rFonts w:hint="eastAsia" w:ascii="仿宋" w:hAnsi="仿宋" w:eastAsia="仿宋" w:cs="仿宋"/>
          <w:color w:val="auto"/>
          <w:sz w:val="32"/>
          <w:szCs w:val="32"/>
        </w:rPr>
        <w:t>交通运输局审核。对当年组织交工验收的工程项目，项目法人或各</w:t>
      </w:r>
      <w:r>
        <w:rPr>
          <w:rFonts w:hint="eastAsia" w:ascii="仿宋" w:hAnsi="仿宋" w:eastAsia="仿宋" w:cs="仿宋"/>
          <w:color w:val="auto"/>
          <w:sz w:val="32"/>
          <w:szCs w:val="32"/>
          <w:lang w:eastAsia="zh-CN"/>
        </w:rPr>
        <w:t>市（区）</w:t>
      </w:r>
      <w:r>
        <w:rPr>
          <w:rFonts w:hint="eastAsia" w:ascii="仿宋" w:hAnsi="仿宋" w:eastAsia="仿宋" w:cs="仿宋"/>
          <w:color w:val="auto"/>
          <w:sz w:val="32"/>
          <w:szCs w:val="32"/>
        </w:rPr>
        <w:t>交通运输局应在交工验收时完成有关公路施工企业本年度的履约行为评价。</w:t>
      </w:r>
    </w:p>
    <w:p>
      <w:pPr>
        <w:keepNext w:val="0"/>
        <w:keepLines w:val="0"/>
        <w:pageBreakBefore w:val="0"/>
        <w:widowControl/>
        <w:tabs>
          <w:tab w:val="left" w:pos="2235"/>
          <w:tab w:val="center" w:pos="4153"/>
        </w:tabs>
        <w:kinsoku/>
        <w:wordWrap/>
        <w:overflowPunct/>
        <w:topLinePunct w:val="0"/>
        <w:autoSpaceDE/>
        <w:autoSpaceDN w:val="0"/>
        <w:bidi w:val="0"/>
        <w:adjustRightInd/>
        <w:snapToGrid/>
        <w:spacing w:line="600" w:lineRule="exact"/>
        <w:ind w:left="0" w:leftChars="0" w:right="0" w:rightChars="0" w:firstLine="480" w:firstLineChars="0"/>
        <w:jc w:val="both"/>
        <w:textAlignment w:val="auto"/>
        <w:outlineLvl w:val="9"/>
        <w:rPr>
          <w:rFonts w:hint="eastAsia" w:ascii="仿宋" w:hAnsi="仿宋" w:eastAsia="仿宋" w:cs="仿宋"/>
          <w:b w:val="0"/>
          <w:bCs/>
          <w:color w:val="auto"/>
          <w:sz w:val="32"/>
          <w:szCs w:val="32"/>
        </w:rPr>
      </w:pPr>
      <w:r>
        <w:rPr>
          <w:rFonts w:hint="eastAsia" w:ascii="仿宋_GB2312" w:eastAsia="仿宋_GB2312"/>
          <w:b w:val="0"/>
          <w:bCs/>
          <w:color w:val="auto"/>
          <w:sz w:val="32"/>
          <w:szCs w:val="18"/>
        </w:rPr>
        <w:t>当年度施工周期不足3个月的施工企业（存在严重不良行为的除外），不参加当年度履约评价。当年度施工企业无履约行为或不参加履约评价，但因存在投标不良行为产生</w:t>
      </w:r>
      <w:r>
        <w:rPr>
          <w:rFonts w:hint="eastAsia" w:ascii="仿宋_GB2312" w:eastAsia="仿宋_GB2312"/>
          <w:b w:val="0"/>
          <w:bCs/>
          <w:color w:val="auto"/>
          <w:sz w:val="32"/>
          <w:szCs w:val="18"/>
          <w:lang w:val="en-US" w:eastAsia="zh-CN"/>
        </w:rPr>
        <w:t>信用</w:t>
      </w:r>
      <w:r>
        <w:rPr>
          <w:rFonts w:hint="eastAsia" w:ascii="仿宋_GB2312" w:eastAsia="仿宋_GB2312"/>
          <w:b w:val="0"/>
          <w:bCs/>
          <w:color w:val="auto"/>
          <w:sz w:val="32"/>
          <w:szCs w:val="18"/>
        </w:rPr>
        <w:t>评价结果的，当年度评价结果不能高于A级</w:t>
      </w:r>
      <w:r>
        <w:rPr>
          <w:rFonts w:hint="eastAsia" w:ascii="仿宋" w:hAnsi="仿宋" w:eastAsia="仿宋" w:cs="仿宋"/>
          <w:b w:val="0"/>
          <w:bCs/>
          <w:color w:val="auto"/>
          <w:sz w:val="32"/>
          <w:szCs w:val="32"/>
        </w:rPr>
        <w:t>。</w:t>
      </w:r>
    </w:p>
    <w:p>
      <w:pPr>
        <w:keepNext w:val="0"/>
        <w:keepLines w:val="0"/>
        <w:pageBreakBefore w:val="0"/>
        <w:widowControl/>
        <w:tabs>
          <w:tab w:val="left" w:pos="2235"/>
          <w:tab w:val="center" w:pos="4153"/>
        </w:tabs>
        <w:kinsoku/>
        <w:wordWrap/>
        <w:overflowPunct/>
        <w:topLinePunct w:val="0"/>
        <w:autoSpaceDE/>
        <w:autoSpaceDN w:val="0"/>
        <w:bidi w:val="0"/>
        <w:adjustRightInd/>
        <w:snapToGrid/>
        <w:spacing w:line="600" w:lineRule="exact"/>
        <w:ind w:left="0" w:leftChars="0" w:right="0" w:rightChars="0" w:firstLine="480" w:firstLineChars="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项目缺陷责任期内有不良履约行为的，按相应标准扣分。项目建设</w:t>
      </w:r>
      <w:r>
        <w:rPr>
          <w:rFonts w:hint="eastAsia" w:ascii="仿宋" w:hAnsi="仿宋" w:eastAsia="仿宋" w:cs="仿宋"/>
          <w:color w:val="auto"/>
          <w:sz w:val="32"/>
          <w:szCs w:val="32"/>
          <w:lang w:eastAsia="zh-CN"/>
        </w:rPr>
        <w:t>过程</w:t>
      </w:r>
      <w:r>
        <w:rPr>
          <w:rFonts w:hint="eastAsia" w:ascii="仿宋" w:hAnsi="仿宋" w:eastAsia="仿宋" w:cs="仿宋"/>
          <w:color w:val="auto"/>
          <w:sz w:val="32"/>
          <w:szCs w:val="32"/>
        </w:rPr>
        <w:t>中和通车运营后出现严重质量问题造成恶劣影响的直接定为D级。</w:t>
      </w:r>
    </w:p>
    <w:p>
      <w:pPr>
        <w:keepNext w:val="0"/>
        <w:keepLines w:val="0"/>
        <w:pageBreakBefore w:val="0"/>
        <w:widowControl/>
        <w:tabs>
          <w:tab w:val="left" w:pos="2235"/>
          <w:tab w:val="center" w:pos="4153"/>
        </w:tabs>
        <w:kinsoku/>
        <w:wordWrap/>
        <w:overflowPunct/>
        <w:topLinePunct w:val="0"/>
        <w:autoSpaceDE/>
        <w:autoSpaceDN w:val="0"/>
        <w:bidi w:val="0"/>
        <w:adjustRightInd/>
        <w:snapToGrid/>
        <w:spacing w:line="600" w:lineRule="exact"/>
        <w:ind w:left="0" w:leftChars="0" w:right="0" w:rightChars="0" w:firstLine="480" w:firstLineChars="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联合体有不良履约行为的，其各方均按相应标准扣分。</w:t>
      </w:r>
    </w:p>
    <w:p>
      <w:pPr>
        <w:widowControl/>
        <w:tabs>
          <w:tab w:val="left" w:pos="2235"/>
          <w:tab w:val="center" w:pos="4153"/>
        </w:tabs>
        <w:autoSpaceDN w:val="0"/>
        <w:ind w:firstLine="480"/>
        <w:rPr>
          <w:rFonts w:hint="eastAsia" w:ascii="仿宋" w:hAnsi="仿宋" w:eastAsia="仿宋" w:cs="仿宋"/>
          <w:color w:val="auto"/>
          <w:sz w:val="32"/>
          <w:szCs w:val="32"/>
        </w:rPr>
      </w:pPr>
      <w:r>
        <w:rPr>
          <w:rFonts w:hint="eastAsia" w:ascii="仿宋" w:hAnsi="仿宋" w:eastAsia="仿宋" w:cs="仿宋"/>
          <w:color w:val="auto"/>
          <w:sz w:val="32"/>
          <w:szCs w:val="32"/>
        </w:rPr>
        <w:t>（三）其他行为评价。负责项目监管的省交通运输厅、省公路局、各</w:t>
      </w:r>
      <w:r>
        <w:rPr>
          <w:rFonts w:hint="eastAsia" w:ascii="仿宋" w:hAnsi="仿宋" w:eastAsia="仿宋" w:cs="仿宋"/>
          <w:color w:val="auto"/>
          <w:sz w:val="32"/>
          <w:szCs w:val="32"/>
          <w:lang w:eastAsia="zh-CN"/>
        </w:rPr>
        <w:t>市（区）</w:t>
      </w:r>
      <w:r>
        <w:rPr>
          <w:rFonts w:hint="eastAsia" w:ascii="仿宋" w:hAnsi="仿宋" w:eastAsia="仿宋" w:cs="仿宋"/>
          <w:color w:val="auto"/>
          <w:sz w:val="32"/>
          <w:szCs w:val="32"/>
        </w:rPr>
        <w:t>交通运输局、厅质监站、市质监站对公路施工企业其他行为进行评价。</w:t>
      </w:r>
    </w:p>
    <w:p>
      <w:pPr>
        <w:widowControl/>
        <w:tabs>
          <w:tab w:val="left" w:pos="2235"/>
          <w:tab w:val="center" w:pos="4153"/>
        </w:tabs>
        <w:autoSpaceDN w:val="0"/>
        <w:ind w:firstLine="480"/>
        <w:rPr>
          <w:rFonts w:hint="eastAsia" w:ascii="仿宋" w:hAnsi="仿宋" w:eastAsia="仿宋" w:cs="仿宋"/>
          <w:color w:val="auto"/>
          <w:sz w:val="32"/>
          <w:szCs w:val="32"/>
        </w:rPr>
      </w:pPr>
      <w:r>
        <w:rPr>
          <w:rFonts w:hint="eastAsia" w:ascii="仿宋" w:hAnsi="仿宋" w:eastAsia="仿宋" w:cs="仿宋"/>
          <w:color w:val="auto"/>
          <w:sz w:val="32"/>
          <w:szCs w:val="32"/>
        </w:rPr>
        <w:t>（四）信用评价信息报送。招标人、项目法人、各</w:t>
      </w:r>
      <w:r>
        <w:rPr>
          <w:rFonts w:hint="eastAsia" w:ascii="仿宋" w:hAnsi="仿宋" w:eastAsia="仿宋" w:cs="仿宋"/>
          <w:color w:val="auto"/>
          <w:sz w:val="32"/>
          <w:szCs w:val="32"/>
          <w:lang w:eastAsia="zh-CN"/>
        </w:rPr>
        <w:t>市（区）</w:t>
      </w:r>
      <w:r>
        <w:rPr>
          <w:rFonts w:hint="eastAsia" w:ascii="仿宋" w:hAnsi="仿宋" w:eastAsia="仿宋" w:cs="仿宋"/>
          <w:color w:val="auto"/>
          <w:sz w:val="32"/>
          <w:szCs w:val="32"/>
        </w:rPr>
        <w:t>交通运输局将信用评价信息按管理职责分别报送厅质监站和省公路局。其中，招投标行为评价应在每次招标评标结果公示后报送。履约行为评价、其他行为评价于每年6月和12月底前分两次报送。</w:t>
      </w:r>
    </w:p>
    <w:p>
      <w:pPr>
        <w:widowControl/>
        <w:tabs>
          <w:tab w:val="left" w:pos="2235"/>
          <w:tab w:val="center" w:pos="4153"/>
        </w:tabs>
        <w:autoSpaceDN w:val="0"/>
        <w:ind w:firstLine="480"/>
        <w:rPr>
          <w:rFonts w:hint="eastAsia" w:ascii="仿宋" w:hAnsi="仿宋" w:eastAsia="仿宋" w:cs="仿宋"/>
          <w:color w:val="auto"/>
          <w:sz w:val="32"/>
          <w:szCs w:val="32"/>
        </w:rPr>
      </w:pPr>
      <w:r>
        <w:rPr>
          <w:rFonts w:hint="eastAsia" w:ascii="仿宋" w:hAnsi="仿宋" w:eastAsia="仿宋" w:cs="仿宋"/>
          <w:color w:val="auto"/>
          <w:sz w:val="32"/>
          <w:szCs w:val="32"/>
        </w:rPr>
        <w:t>（五）省级综合评价。省交通运输厅于2月底前完成全省公路施工企业信用综合评价结果审定，</w:t>
      </w:r>
      <w:r>
        <w:rPr>
          <w:rFonts w:hint="eastAsia" w:ascii="仿宋" w:hAnsi="仿宋" w:eastAsia="仿宋" w:cs="仿宋"/>
          <w:color w:val="auto"/>
          <w:sz w:val="32"/>
          <w:szCs w:val="32"/>
          <w:lang w:val="en-US" w:eastAsia="zh-CN"/>
        </w:rPr>
        <w:t>并</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高速公路施工企业</w:t>
      </w:r>
      <w:r>
        <w:rPr>
          <w:rFonts w:hint="eastAsia" w:ascii="仿宋" w:hAnsi="仿宋" w:eastAsia="仿宋" w:cs="仿宋"/>
          <w:color w:val="auto"/>
          <w:sz w:val="32"/>
          <w:szCs w:val="32"/>
        </w:rPr>
        <w:t>信用综合评价结果</w:t>
      </w:r>
      <w:r>
        <w:rPr>
          <w:rFonts w:hint="eastAsia" w:ascii="仿宋" w:hAnsi="仿宋" w:eastAsia="仿宋" w:cs="仿宋"/>
          <w:color w:val="auto"/>
          <w:sz w:val="32"/>
          <w:szCs w:val="32"/>
          <w:lang w:val="en-US" w:eastAsia="zh-CN"/>
        </w:rPr>
        <w:t>按类别</w:t>
      </w:r>
      <w:r>
        <w:rPr>
          <w:rFonts w:hint="eastAsia" w:ascii="仿宋" w:hAnsi="仿宋" w:eastAsia="仿宋" w:cs="仿宋"/>
          <w:color w:val="auto"/>
          <w:sz w:val="32"/>
          <w:szCs w:val="32"/>
        </w:rPr>
        <w:t>进行公示，</w:t>
      </w:r>
      <w:r>
        <w:rPr>
          <w:rFonts w:hint="eastAsia" w:ascii="仿宋" w:hAnsi="仿宋" w:eastAsia="仿宋" w:cs="仿宋"/>
          <w:color w:val="auto"/>
          <w:sz w:val="32"/>
          <w:szCs w:val="32"/>
          <w:lang w:eastAsia="zh-CN"/>
        </w:rPr>
        <w:t>省公路局受</w:t>
      </w:r>
      <w:r>
        <w:rPr>
          <w:rFonts w:hint="eastAsia" w:ascii="仿宋" w:hAnsi="仿宋" w:eastAsia="仿宋" w:cs="仿宋"/>
          <w:color w:val="auto"/>
          <w:sz w:val="32"/>
          <w:szCs w:val="32"/>
        </w:rPr>
        <w:t>省交通运输厅</w:t>
      </w:r>
      <w:r>
        <w:rPr>
          <w:rFonts w:hint="eastAsia" w:ascii="仿宋" w:hAnsi="仿宋" w:eastAsia="仿宋" w:cs="仿宋"/>
          <w:color w:val="auto"/>
          <w:sz w:val="32"/>
          <w:szCs w:val="32"/>
          <w:lang w:eastAsia="zh-CN"/>
        </w:rPr>
        <w:t>委托，对干线公路施工企业</w:t>
      </w:r>
      <w:r>
        <w:rPr>
          <w:rFonts w:hint="eastAsia" w:ascii="仿宋" w:hAnsi="仿宋" w:eastAsia="仿宋" w:cs="仿宋"/>
          <w:color w:val="auto"/>
          <w:sz w:val="32"/>
          <w:szCs w:val="32"/>
        </w:rPr>
        <w:t>信用综合评价结果</w:t>
      </w:r>
      <w:r>
        <w:rPr>
          <w:rFonts w:hint="eastAsia" w:ascii="仿宋" w:hAnsi="仿宋" w:eastAsia="仿宋" w:cs="仿宋"/>
          <w:color w:val="auto"/>
          <w:sz w:val="32"/>
          <w:szCs w:val="32"/>
          <w:lang w:val="en-US" w:eastAsia="zh-CN"/>
        </w:rPr>
        <w:t>按类别</w:t>
      </w:r>
      <w:r>
        <w:rPr>
          <w:rFonts w:hint="eastAsia" w:ascii="仿宋" w:hAnsi="仿宋" w:eastAsia="仿宋" w:cs="仿宋"/>
          <w:color w:val="auto"/>
          <w:sz w:val="32"/>
          <w:szCs w:val="32"/>
        </w:rPr>
        <w:t>进行公示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公示期不少于10个工作日。</w:t>
      </w:r>
    </w:p>
    <w:p>
      <w:pPr>
        <w:tabs>
          <w:tab w:val="left" w:pos="2235"/>
          <w:tab w:val="center" w:pos="4153"/>
        </w:tabs>
        <w:autoSpaceDN w:val="0"/>
        <w:ind w:firstLine="480"/>
        <w:rPr>
          <w:rFonts w:hint="eastAsia" w:ascii="仿宋" w:hAnsi="仿宋" w:eastAsia="仿宋" w:cs="仿宋"/>
          <w:color w:val="auto"/>
          <w:sz w:val="32"/>
          <w:szCs w:val="32"/>
        </w:rPr>
      </w:pPr>
      <w:r>
        <w:rPr>
          <w:rFonts w:hint="eastAsia" w:ascii="黑体" w:hAnsi="黑体" w:eastAsia="黑体" w:cs="黑体"/>
          <w:b w:val="0"/>
          <w:bCs w:val="0"/>
          <w:color w:val="auto"/>
          <w:sz w:val="32"/>
          <w:szCs w:val="32"/>
        </w:rPr>
        <w:t>第十七条</w:t>
      </w:r>
      <w:r>
        <w:rPr>
          <w:rFonts w:hint="eastAsia" w:ascii="仿宋" w:hAnsi="仿宋" w:eastAsia="仿宋" w:cs="仿宋"/>
          <w:color w:val="auto"/>
          <w:sz w:val="32"/>
          <w:szCs w:val="32"/>
        </w:rPr>
        <w:t xml:space="preserve"> 公路施工企业对信用评价结果有异议的，可在公示期限内向厅质监站提出申诉。</w:t>
      </w:r>
    </w:p>
    <w:p>
      <w:pPr>
        <w:tabs>
          <w:tab w:val="left" w:pos="2235"/>
          <w:tab w:val="center" w:pos="4153"/>
        </w:tabs>
        <w:autoSpaceDN w:val="0"/>
        <w:ind w:firstLine="480"/>
        <w:rPr>
          <w:rFonts w:hint="eastAsia" w:ascii="仿宋" w:hAnsi="仿宋" w:eastAsia="仿宋" w:cs="仿宋"/>
          <w:color w:val="auto"/>
          <w:sz w:val="32"/>
          <w:szCs w:val="32"/>
        </w:rPr>
      </w:pPr>
      <w:r>
        <w:rPr>
          <w:rFonts w:hint="eastAsia" w:ascii="黑体" w:hAnsi="黑体" w:eastAsia="黑体" w:cs="黑体"/>
          <w:b w:val="0"/>
          <w:bCs w:val="0"/>
          <w:color w:val="auto"/>
          <w:sz w:val="32"/>
          <w:szCs w:val="32"/>
        </w:rPr>
        <w:t>第十八条</w:t>
      </w:r>
      <w:r>
        <w:rPr>
          <w:rFonts w:hint="eastAsia" w:ascii="仿宋" w:hAnsi="仿宋" w:eastAsia="仿宋" w:cs="仿宋"/>
          <w:color w:val="auto"/>
          <w:sz w:val="32"/>
          <w:szCs w:val="32"/>
        </w:rPr>
        <w:t xml:space="preserve"> </w:t>
      </w:r>
      <w:r>
        <w:rPr>
          <w:rFonts w:hint="eastAsia" w:ascii="仿宋_GB2312" w:eastAsia="仿宋_GB2312"/>
          <w:color w:val="auto"/>
          <w:sz w:val="32"/>
          <w:szCs w:val="18"/>
        </w:rPr>
        <w:t>对发生严重失信行为导致信用降级或信</w:t>
      </w:r>
      <w:r>
        <w:rPr>
          <w:rFonts w:ascii="仿宋_GB2312" w:eastAsia="仿宋_GB2312"/>
          <w:color w:val="auto"/>
          <w:sz w:val="32"/>
          <w:szCs w:val="18"/>
        </w:rPr>
        <w:t>用</w:t>
      </w:r>
      <w:r>
        <w:rPr>
          <w:rFonts w:hint="eastAsia" w:ascii="仿宋_GB2312" w:eastAsia="仿宋_GB2312"/>
          <w:color w:val="auto"/>
          <w:sz w:val="32"/>
          <w:szCs w:val="18"/>
        </w:rPr>
        <w:t>等级</w:t>
      </w:r>
      <w:r>
        <w:rPr>
          <w:rFonts w:ascii="仿宋_GB2312" w:eastAsia="仿宋_GB2312"/>
          <w:color w:val="auto"/>
          <w:sz w:val="32"/>
          <w:szCs w:val="18"/>
        </w:rPr>
        <w:t>直接定为D级的施工企业实行动态评价</w:t>
      </w:r>
      <w:r>
        <w:rPr>
          <w:rFonts w:hint="eastAsia" w:ascii="仿宋_GB2312" w:eastAsia="仿宋_GB2312"/>
          <w:color w:val="auto"/>
          <w:sz w:val="32"/>
          <w:szCs w:val="18"/>
        </w:rPr>
        <w:t>。</w:t>
      </w:r>
      <w:r>
        <w:rPr>
          <w:rFonts w:ascii="仿宋_GB2312" w:eastAsia="仿宋_GB2312"/>
          <w:color w:val="auto"/>
          <w:sz w:val="32"/>
          <w:szCs w:val="18"/>
        </w:rPr>
        <w:t>直接定为D级的施工企业自省交通运输</w:t>
      </w:r>
      <w:r>
        <w:rPr>
          <w:rFonts w:hint="eastAsia" w:ascii="仿宋_GB2312" w:eastAsia="仿宋_GB2312"/>
          <w:color w:val="auto"/>
          <w:sz w:val="32"/>
          <w:szCs w:val="18"/>
        </w:rPr>
        <w:t>厅</w:t>
      </w:r>
      <w:r>
        <w:rPr>
          <w:rFonts w:ascii="仿宋_GB2312" w:eastAsia="仿宋_GB2312"/>
          <w:color w:val="auto"/>
          <w:sz w:val="32"/>
          <w:szCs w:val="18"/>
        </w:rPr>
        <w:t>认定之日起</w:t>
      </w:r>
      <w:r>
        <w:rPr>
          <w:rFonts w:hint="eastAsia" w:ascii="仿宋_GB2312" w:eastAsia="仿宋_GB2312"/>
          <w:color w:val="auto"/>
          <w:sz w:val="32"/>
          <w:szCs w:val="18"/>
        </w:rPr>
        <w:t>一年内有效</w:t>
      </w:r>
      <w:r>
        <w:rPr>
          <w:rFonts w:ascii="仿宋_GB2312" w:eastAsia="仿宋_GB2312"/>
          <w:color w:val="auto"/>
          <w:sz w:val="32"/>
          <w:szCs w:val="18"/>
        </w:rPr>
        <w:t>。对实施行政处罚的施工企业，评价为D级的时间不低于行政处罚期限。</w:t>
      </w:r>
    </w:p>
    <w:p>
      <w:pPr>
        <w:widowControl/>
        <w:tabs>
          <w:tab w:val="left" w:pos="2235"/>
          <w:tab w:val="center" w:pos="4153"/>
        </w:tabs>
        <w:autoSpaceDN w:val="0"/>
        <w:ind w:firstLine="480"/>
        <w:rPr>
          <w:rFonts w:hint="eastAsia" w:ascii="仿宋" w:hAnsi="仿宋" w:eastAsia="仿宋" w:cs="仿宋"/>
          <w:color w:val="auto"/>
          <w:sz w:val="32"/>
          <w:szCs w:val="32"/>
        </w:rPr>
      </w:pPr>
      <w:r>
        <w:rPr>
          <w:rFonts w:hint="eastAsia" w:ascii="黑体" w:hAnsi="黑体" w:eastAsia="黑体" w:cs="黑体"/>
          <w:b w:val="0"/>
          <w:bCs w:val="0"/>
          <w:color w:val="auto"/>
          <w:sz w:val="32"/>
          <w:szCs w:val="32"/>
        </w:rPr>
        <w:t>第十九条</w:t>
      </w:r>
      <w:r>
        <w:rPr>
          <w:rFonts w:hint="eastAsia" w:ascii="仿宋" w:hAnsi="仿宋" w:eastAsia="仿宋" w:cs="仿宋"/>
          <w:color w:val="auto"/>
          <w:sz w:val="32"/>
          <w:szCs w:val="32"/>
        </w:rPr>
        <w:t xml:space="preserve"> 公路施工企业资质升级的，其信用评价等级不变。企业分立的，按照新设立企业确定信用评价等级，但不得高于原评价等级。企业合并的，按照信用评价等级较低企业的等级确定合并后企业。</w:t>
      </w:r>
    </w:p>
    <w:p>
      <w:pPr>
        <w:widowControl/>
        <w:tabs>
          <w:tab w:val="left" w:pos="2235"/>
          <w:tab w:val="center" w:pos="4153"/>
        </w:tabs>
        <w:autoSpaceDN w:val="0"/>
        <w:ind w:firstLine="480"/>
        <w:rPr>
          <w:rFonts w:hint="eastAsia" w:ascii="仿宋" w:hAnsi="仿宋" w:eastAsia="仿宋" w:cs="仿宋"/>
          <w:color w:val="auto"/>
          <w:sz w:val="32"/>
          <w:szCs w:val="32"/>
        </w:rPr>
      </w:pPr>
      <w:r>
        <w:rPr>
          <w:rFonts w:hint="eastAsia" w:ascii="黑体" w:hAnsi="黑体" w:eastAsia="黑体" w:cs="黑体"/>
          <w:b w:val="0"/>
          <w:bCs w:val="0"/>
          <w:color w:val="auto"/>
          <w:sz w:val="32"/>
          <w:szCs w:val="32"/>
        </w:rPr>
        <w:t>第二十条</w:t>
      </w:r>
      <w:r>
        <w:rPr>
          <w:rFonts w:hint="eastAsia" w:ascii="仿宋" w:hAnsi="仿宋" w:eastAsia="仿宋" w:cs="仿宋"/>
          <w:b/>
          <w:bCs/>
          <w:color w:val="auto"/>
          <w:sz w:val="32"/>
          <w:szCs w:val="32"/>
        </w:rPr>
        <w:t xml:space="preserve"> </w:t>
      </w:r>
      <w:r>
        <w:rPr>
          <w:rFonts w:hint="eastAsia" w:ascii="仿宋" w:hAnsi="仿宋" w:eastAsia="仿宋" w:cs="仿宋"/>
          <w:color w:val="auto"/>
          <w:sz w:val="32"/>
          <w:szCs w:val="32"/>
        </w:rPr>
        <w:t>公路施工企业信用评价结果按以下原则应用：</w:t>
      </w:r>
    </w:p>
    <w:p>
      <w:pPr>
        <w:numPr>
          <w:ilvl w:val="0"/>
          <w:numId w:val="1"/>
        </w:numPr>
        <w:tabs>
          <w:tab w:val="left" w:pos="2235"/>
          <w:tab w:val="center" w:pos="4153"/>
        </w:tabs>
        <w:autoSpaceDN w:val="0"/>
        <w:ind w:firstLine="480"/>
        <w:rPr>
          <w:rFonts w:hint="eastAsia" w:ascii="仿宋" w:hAnsi="仿宋" w:eastAsia="仿宋" w:cs="仿宋"/>
          <w:color w:val="auto"/>
          <w:sz w:val="32"/>
          <w:szCs w:val="32"/>
        </w:rPr>
      </w:pPr>
      <w:r>
        <w:rPr>
          <w:rFonts w:hint="eastAsia" w:ascii="仿宋" w:hAnsi="仿宋" w:eastAsia="仿宋" w:cs="仿宋"/>
          <w:color w:val="auto"/>
          <w:sz w:val="32"/>
          <w:szCs w:val="32"/>
        </w:rPr>
        <w:t>省级信用综合评价结果</w:t>
      </w:r>
      <w:r>
        <w:rPr>
          <w:rFonts w:hint="eastAsia" w:ascii="仿宋" w:hAnsi="仿宋" w:eastAsia="仿宋" w:cs="仿宋"/>
          <w:color w:val="auto"/>
          <w:sz w:val="32"/>
          <w:szCs w:val="32"/>
          <w:lang w:val="en-US" w:eastAsia="zh-CN"/>
        </w:rPr>
        <w:t>按类别</w:t>
      </w:r>
      <w:r>
        <w:rPr>
          <w:rFonts w:hint="eastAsia" w:ascii="仿宋" w:hAnsi="仿宋" w:eastAsia="仿宋" w:cs="仿宋"/>
          <w:color w:val="auto"/>
          <w:sz w:val="32"/>
          <w:szCs w:val="32"/>
        </w:rPr>
        <w:t>优先应用于本省公路建设市场。</w:t>
      </w:r>
    </w:p>
    <w:p>
      <w:pPr>
        <w:numPr>
          <w:ilvl w:val="0"/>
          <w:numId w:val="1"/>
        </w:numPr>
        <w:tabs>
          <w:tab w:val="left" w:pos="2235"/>
          <w:tab w:val="center" w:pos="4153"/>
        </w:tabs>
        <w:autoSpaceDN w:val="0"/>
        <w:ind w:firstLine="480"/>
        <w:rPr>
          <w:rFonts w:hint="eastAsia" w:ascii="仿宋" w:hAnsi="仿宋" w:eastAsia="仿宋" w:cs="仿宋"/>
          <w:color w:val="auto"/>
          <w:sz w:val="32"/>
          <w:szCs w:val="32"/>
        </w:rPr>
      </w:pPr>
      <w:r>
        <w:rPr>
          <w:rFonts w:hint="eastAsia" w:ascii="仿宋" w:hAnsi="仿宋" w:eastAsia="仿宋" w:cs="仿宋"/>
          <w:color w:val="auto"/>
          <w:sz w:val="32"/>
          <w:szCs w:val="32"/>
        </w:rPr>
        <w:t>国务院有关部门许可资质的公路施工企业初次进入我省时，其等级按照全国综合评价结果确定。尚无全国综合评价的企业，若无不良信用记录，可按A级对待。若有不良信用记录，视其严重程度按B级及以下对待。</w:t>
      </w:r>
    </w:p>
    <w:p>
      <w:pPr>
        <w:widowControl/>
        <w:tabs>
          <w:tab w:val="left" w:pos="2235"/>
          <w:tab w:val="center" w:pos="4153"/>
        </w:tabs>
        <w:autoSpaceDN w:val="0"/>
        <w:ind w:firstLine="480"/>
        <w:rPr>
          <w:rFonts w:hint="eastAsia" w:ascii="仿宋" w:hAnsi="仿宋" w:eastAsia="仿宋" w:cs="仿宋"/>
          <w:color w:val="auto"/>
          <w:sz w:val="32"/>
          <w:szCs w:val="32"/>
        </w:rPr>
      </w:pPr>
      <w:r>
        <w:rPr>
          <w:rFonts w:hint="eastAsia" w:ascii="仿宋" w:hAnsi="仿宋" w:eastAsia="仿宋" w:cs="仿宋"/>
          <w:color w:val="auto"/>
          <w:sz w:val="32"/>
          <w:szCs w:val="32"/>
        </w:rPr>
        <w:t>（三）其他施工企业（国务院有关部门许可资质的除外）初次进入我省时，其等级可参照从业单位注册地省级综合评价结果确定，但最高不能超过A级。</w:t>
      </w:r>
    </w:p>
    <w:p>
      <w:pPr>
        <w:widowControl/>
        <w:tabs>
          <w:tab w:val="left" w:pos="2235"/>
          <w:tab w:val="center" w:pos="4153"/>
        </w:tabs>
        <w:autoSpaceDN w:val="0"/>
        <w:ind w:firstLine="480"/>
        <w:rPr>
          <w:rFonts w:hint="eastAsia" w:ascii="仿宋" w:hAnsi="仿宋" w:eastAsia="仿宋" w:cs="仿宋"/>
          <w:color w:val="auto"/>
          <w:sz w:val="32"/>
          <w:szCs w:val="32"/>
        </w:rPr>
      </w:pPr>
      <w:r>
        <w:rPr>
          <w:rFonts w:hint="eastAsia" w:ascii="仿宋" w:hAnsi="仿宋" w:eastAsia="仿宋" w:cs="仿宋"/>
          <w:color w:val="auto"/>
          <w:sz w:val="32"/>
          <w:szCs w:val="32"/>
        </w:rPr>
        <w:t>（四）联合体参与投标的，其信用等级按照联合体中最低等级方认定。</w:t>
      </w:r>
    </w:p>
    <w:p>
      <w:pPr>
        <w:tabs>
          <w:tab w:val="left" w:pos="2235"/>
          <w:tab w:val="center" w:pos="4153"/>
        </w:tabs>
        <w:autoSpaceDN w:val="0"/>
        <w:ind w:firstLine="480"/>
        <w:rPr>
          <w:rFonts w:hint="eastAsia" w:ascii="仿宋" w:hAnsi="仿宋" w:eastAsia="仿宋" w:cs="仿宋"/>
          <w:color w:val="auto"/>
          <w:sz w:val="32"/>
          <w:szCs w:val="32"/>
        </w:rPr>
      </w:pPr>
      <w:r>
        <w:rPr>
          <w:rFonts w:hint="eastAsia" w:ascii="黑体" w:hAnsi="黑体" w:eastAsia="黑体" w:cs="黑体"/>
          <w:b w:val="0"/>
          <w:bCs w:val="0"/>
          <w:color w:val="auto"/>
          <w:sz w:val="32"/>
          <w:szCs w:val="32"/>
        </w:rPr>
        <w:t xml:space="preserve">第二十一条 </w:t>
      </w:r>
      <w:r>
        <w:rPr>
          <w:rFonts w:hint="eastAsia" w:ascii="仿宋" w:hAnsi="仿宋" w:eastAsia="仿宋" w:cs="仿宋"/>
          <w:color w:val="auto"/>
          <w:sz w:val="32"/>
          <w:szCs w:val="32"/>
        </w:rPr>
        <w:t xml:space="preserve">公路施工企业信用评价结果有效期1年，下一年度公路施工企业在我省无信用评价结果的，其信用评价等级可延续1年。延续1年后仍无信用评价结果的，按照初次进入我省情况对待确定，但不得高于在我省原评价等级的上一等级。 </w:t>
      </w:r>
    </w:p>
    <w:p>
      <w:pPr>
        <w:tabs>
          <w:tab w:val="left" w:pos="2235"/>
          <w:tab w:val="center" w:pos="4153"/>
        </w:tabs>
        <w:autoSpaceDN w:val="0"/>
        <w:ind w:firstLine="480"/>
        <w:rPr>
          <w:rFonts w:hint="eastAsia" w:ascii="仿宋" w:hAnsi="仿宋" w:eastAsia="仿宋" w:cs="仿宋"/>
          <w:color w:val="auto"/>
          <w:sz w:val="32"/>
          <w:szCs w:val="32"/>
        </w:rPr>
      </w:pPr>
      <w:r>
        <w:rPr>
          <w:rFonts w:hint="eastAsia" w:ascii="黑体" w:hAnsi="黑体" w:eastAsia="黑体" w:cs="黑体"/>
          <w:b w:val="0"/>
          <w:bCs w:val="0"/>
          <w:color w:val="auto"/>
          <w:sz w:val="32"/>
          <w:szCs w:val="32"/>
        </w:rPr>
        <w:t>第二十二条</w:t>
      </w:r>
      <w:r>
        <w:rPr>
          <w:rFonts w:hint="eastAsia" w:ascii="仿宋" w:hAnsi="仿宋" w:eastAsia="仿宋" w:cs="仿宋"/>
          <w:b/>
          <w:bCs/>
          <w:color w:val="auto"/>
          <w:sz w:val="32"/>
          <w:szCs w:val="32"/>
        </w:rPr>
        <w:t xml:space="preserve"> </w:t>
      </w:r>
      <w:r>
        <w:rPr>
          <w:rFonts w:hint="eastAsia" w:ascii="仿宋" w:hAnsi="仿宋" w:eastAsia="仿宋" w:cs="仿宋"/>
          <w:color w:val="auto"/>
          <w:sz w:val="32"/>
          <w:szCs w:val="32"/>
        </w:rPr>
        <w:t>公路建设项目招标人和项目法人</w:t>
      </w:r>
      <w:r>
        <w:rPr>
          <w:rFonts w:hint="eastAsia" w:ascii="仿宋" w:hAnsi="仿宋" w:eastAsia="仿宋" w:cs="仿宋"/>
          <w:color w:val="auto"/>
          <w:sz w:val="32"/>
          <w:szCs w:val="32"/>
          <w:lang w:eastAsia="zh-CN"/>
        </w:rPr>
        <w:t>及现场管理机构</w:t>
      </w:r>
      <w:r>
        <w:rPr>
          <w:rFonts w:ascii="仿宋_GB2312" w:eastAsia="仿宋_GB2312"/>
          <w:color w:val="auto"/>
          <w:sz w:val="32"/>
          <w:szCs w:val="18"/>
        </w:rPr>
        <w:t>应</w:t>
      </w:r>
      <w:r>
        <w:rPr>
          <w:rFonts w:hint="eastAsia" w:ascii="仿宋_GB2312" w:eastAsia="仿宋_GB2312"/>
          <w:color w:val="auto"/>
          <w:sz w:val="32"/>
          <w:szCs w:val="18"/>
        </w:rPr>
        <w:t>专人负责，</w:t>
      </w:r>
      <w:r>
        <w:rPr>
          <w:rFonts w:hint="eastAsia" w:ascii="仿宋" w:hAnsi="仿宋" w:eastAsia="仿宋" w:cs="仿宋"/>
          <w:color w:val="auto"/>
          <w:sz w:val="32"/>
          <w:szCs w:val="32"/>
        </w:rPr>
        <w:t>建立公路施工企业信用管理台帐，及时、客观、公正地对公路施工企业进行信用评价，不得徇私舞弊，不得设置市场壁垒，一经发现，将在全省通报批评。</w:t>
      </w:r>
    </w:p>
    <w:p>
      <w:pPr>
        <w:widowControl/>
        <w:tabs>
          <w:tab w:val="left" w:pos="2235"/>
          <w:tab w:val="center" w:pos="4153"/>
        </w:tabs>
        <w:autoSpaceDN w:val="0"/>
        <w:ind w:firstLine="480"/>
        <w:rPr>
          <w:rFonts w:hint="eastAsia" w:ascii="仿宋" w:hAnsi="仿宋" w:eastAsia="仿宋" w:cs="仿宋"/>
          <w:color w:val="auto"/>
          <w:sz w:val="32"/>
          <w:szCs w:val="32"/>
        </w:rPr>
      </w:pPr>
      <w:r>
        <w:rPr>
          <w:rFonts w:hint="eastAsia" w:ascii="黑体" w:hAnsi="黑体" w:eastAsia="黑体" w:cs="黑体"/>
          <w:b w:val="0"/>
          <w:bCs w:val="0"/>
          <w:color w:val="auto"/>
          <w:sz w:val="32"/>
          <w:szCs w:val="32"/>
        </w:rPr>
        <w:t xml:space="preserve">第二十三条 </w:t>
      </w:r>
      <w:r>
        <w:rPr>
          <w:rFonts w:hint="eastAsia" w:ascii="仿宋_GB2312" w:eastAsia="仿宋_GB2312"/>
          <w:b w:val="0"/>
          <w:bCs w:val="0"/>
          <w:color w:val="auto"/>
          <w:sz w:val="32"/>
          <w:szCs w:val="18"/>
        </w:rPr>
        <w:t>省交通运输厅将对招标人、项目法人评价工作的</w:t>
      </w:r>
      <w:r>
        <w:rPr>
          <w:rFonts w:hint="eastAsia" w:ascii="仿宋_GB2312" w:eastAsia="仿宋_GB2312"/>
          <w:b w:val="0"/>
          <w:bCs w:val="0"/>
          <w:color w:val="auto"/>
          <w:sz w:val="32"/>
          <w:szCs w:val="18"/>
          <w:lang w:val="en-US" w:eastAsia="zh-CN"/>
        </w:rPr>
        <w:t>开展情况适时进行检查</w:t>
      </w:r>
      <w:r>
        <w:rPr>
          <w:rFonts w:hint="eastAsia" w:ascii="仿宋_GB2312" w:eastAsia="仿宋_GB2312"/>
          <w:b w:val="0"/>
          <w:bCs w:val="0"/>
          <w:color w:val="auto"/>
          <w:sz w:val="32"/>
          <w:szCs w:val="18"/>
        </w:rPr>
        <w:t>，</w:t>
      </w:r>
      <w:r>
        <w:rPr>
          <w:rFonts w:hint="eastAsia" w:ascii="仿宋" w:hAnsi="仿宋" w:eastAsia="仿宋" w:cs="仿宋"/>
          <w:color w:val="auto"/>
          <w:sz w:val="32"/>
          <w:szCs w:val="32"/>
        </w:rPr>
        <w:t>确保公路施工企业信用评价工作客观、公正。</w:t>
      </w:r>
    </w:p>
    <w:p>
      <w:pPr>
        <w:widowControl/>
        <w:tabs>
          <w:tab w:val="left" w:pos="2235"/>
          <w:tab w:val="center" w:pos="4153"/>
        </w:tabs>
        <w:autoSpaceDN w:val="0"/>
        <w:ind w:firstLine="480"/>
        <w:rPr>
          <w:rFonts w:hint="eastAsia" w:ascii="仿宋" w:hAnsi="仿宋" w:eastAsia="仿宋" w:cs="仿宋"/>
          <w:color w:val="auto"/>
          <w:sz w:val="32"/>
          <w:szCs w:val="32"/>
        </w:rPr>
      </w:pPr>
      <w:r>
        <w:rPr>
          <w:rFonts w:hint="eastAsia" w:ascii="黑体" w:hAnsi="黑体" w:eastAsia="黑体" w:cs="黑体"/>
          <w:b w:val="0"/>
          <w:bCs w:val="0"/>
          <w:color w:val="auto"/>
          <w:sz w:val="32"/>
          <w:szCs w:val="32"/>
        </w:rPr>
        <w:t>第二十四条</w:t>
      </w:r>
      <w:r>
        <w:rPr>
          <w:rFonts w:hint="eastAsia" w:ascii="仿宋" w:hAnsi="仿宋" w:eastAsia="仿宋" w:cs="仿宋"/>
          <w:color w:val="auto"/>
          <w:sz w:val="32"/>
          <w:szCs w:val="32"/>
        </w:rPr>
        <w:t xml:space="preserve"> 省交通运输厅、省公路局、各</w:t>
      </w:r>
      <w:r>
        <w:rPr>
          <w:rFonts w:hint="eastAsia" w:ascii="仿宋" w:hAnsi="仿宋" w:eastAsia="仿宋" w:cs="仿宋"/>
          <w:color w:val="auto"/>
          <w:sz w:val="32"/>
          <w:szCs w:val="32"/>
          <w:lang w:eastAsia="zh-CN"/>
        </w:rPr>
        <w:t>市（区）</w:t>
      </w:r>
      <w:r>
        <w:rPr>
          <w:rFonts w:hint="eastAsia" w:ascii="仿宋" w:hAnsi="仿宋" w:eastAsia="仿宋" w:cs="仿宋"/>
          <w:color w:val="auto"/>
          <w:sz w:val="32"/>
          <w:szCs w:val="32"/>
        </w:rPr>
        <w:t>交通运输局、厅质监站应当建立健全信用评价工作机制和监督举报制度，结合督查工作不定期对公路施工企业的从业行为进行抽查，当</w:t>
      </w:r>
      <w:r>
        <w:rPr>
          <w:rFonts w:hint="eastAsia" w:ascii="仿宋" w:hAnsi="仿宋" w:eastAsia="仿宋" w:cs="仿宋"/>
          <w:color w:val="auto"/>
          <w:sz w:val="32"/>
          <w:szCs w:val="32"/>
          <w:lang w:eastAsia="zh-CN"/>
        </w:rPr>
        <w:t>发现</w:t>
      </w:r>
      <w:r>
        <w:rPr>
          <w:rFonts w:hint="eastAsia" w:ascii="仿宋" w:hAnsi="仿宋" w:eastAsia="仿宋" w:cs="仿宋"/>
          <w:color w:val="auto"/>
          <w:sz w:val="32"/>
          <w:szCs w:val="32"/>
        </w:rPr>
        <w:t>招标人或项目法人对施工企业的评价与实际情况不符的，应当责令招标人或项目法人重新评价或直接予以调整。</w:t>
      </w:r>
    </w:p>
    <w:p>
      <w:pPr>
        <w:widowControl/>
        <w:tabs>
          <w:tab w:val="left" w:pos="2235"/>
          <w:tab w:val="center" w:pos="4153"/>
        </w:tabs>
        <w:autoSpaceDN w:val="0"/>
        <w:ind w:firstLine="480"/>
        <w:rPr>
          <w:rFonts w:hint="eastAsia" w:ascii="仿宋" w:hAnsi="仿宋" w:eastAsia="仿宋" w:cs="仿宋"/>
          <w:color w:val="auto"/>
          <w:sz w:val="32"/>
          <w:szCs w:val="32"/>
        </w:rPr>
      </w:pPr>
      <w:r>
        <w:rPr>
          <w:rFonts w:hint="eastAsia" w:ascii="仿宋" w:hAnsi="仿宋" w:eastAsia="仿宋" w:cs="仿宋"/>
          <w:color w:val="auto"/>
          <w:sz w:val="32"/>
          <w:szCs w:val="32"/>
        </w:rPr>
        <w:t>任何单位和个人均可对公路施工企业的不良行为，以及信用评价工作中的违纪、违规行为进行投诉举报。</w:t>
      </w:r>
    </w:p>
    <w:p>
      <w:pPr>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第二十五条</w:t>
      </w:r>
      <w:r>
        <w:rPr>
          <w:rFonts w:hint="eastAsia" w:ascii="仿宋" w:hAnsi="仿宋" w:eastAsia="仿宋" w:cs="仿宋"/>
          <w:color w:val="auto"/>
          <w:sz w:val="32"/>
          <w:szCs w:val="32"/>
        </w:rPr>
        <w:t xml:space="preserve"> </w:t>
      </w:r>
      <w:r>
        <w:rPr>
          <w:rFonts w:hint="eastAsia" w:ascii="仿宋_GB2312" w:hAnsi="黑体" w:eastAsia="仿宋_GB2312" w:cs="黑体"/>
          <w:color w:val="auto"/>
          <w:sz w:val="32"/>
          <w:szCs w:val="32"/>
        </w:rPr>
        <w:t>本办法自2018年</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17</w:t>
      </w:r>
      <w:r>
        <w:rPr>
          <w:rFonts w:hint="eastAsia" w:ascii="仿宋_GB2312" w:hAnsi="仿宋_GB2312" w:eastAsia="仿宋_GB2312" w:cs="仿宋_GB2312"/>
          <w:color w:val="auto"/>
          <w:sz w:val="32"/>
          <w:szCs w:val="32"/>
        </w:rPr>
        <w:t>日起施行,有效期至</w:t>
      </w:r>
      <w:r>
        <w:rPr>
          <w:rFonts w:hint="eastAsia" w:ascii="仿宋_GB2312" w:hAnsi="黑体" w:eastAsia="仿宋_GB2312" w:cs="黑体"/>
          <w:color w:val="auto"/>
          <w:sz w:val="32"/>
          <w:szCs w:val="32"/>
        </w:rPr>
        <w:t>20</w:t>
      </w:r>
      <w:r>
        <w:rPr>
          <w:rFonts w:hint="eastAsia" w:ascii="仿宋_GB2312" w:hAnsi="仿宋_GB2312" w:eastAsia="仿宋_GB2312" w:cs="仿宋_GB2312"/>
          <w:color w:val="auto"/>
          <w:sz w:val="32"/>
          <w:szCs w:val="32"/>
          <w:lang w:val="en-US" w:eastAsia="zh-CN"/>
        </w:rPr>
        <w:t>23</w:t>
      </w:r>
      <w:r>
        <w:rPr>
          <w:rFonts w:hint="eastAsia" w:ascii="仿宋_GB2312" w:hAnsi="黑体" w:eastAsia="仿宋_GB2312" w:cs="黑体"/>
          <w:color w:val="auto"/>
          <w:sz w:val="32"/>
          <w:szCs w:val="32"/>
        </w:rPr>
        <w:t>年</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16</w:t>
      </w:r>
      <w:r>
        <w:rPr>
          <w:rFonts w:hint="eastAsia" w:ascii="仿宋_GB2312" w:hAnsi="仿宋_GB2312" w:eastAsia="仿宋_GB2312" w:cs="仿宋_GB2312"/>
          <w:color w:val="auto"/>
          <w:sz w:val="32"/>
          <w:szCs w:val="32"/>
        </w:rPr>
        <w:t>日。</w:t>
      </w:r>
    </w:p>
    <w:p>
      <w:pPr>
        <w:widowControl/>
        <w:tabs>
          <w:tab w:val="left" w:pos="2235"/>
          <w:tab w:val="center" w:pos="4153"/>
        </w:tabs>
        <w:autoSpaceDN w:val="0"/>
        <w:ind w:firstLine="480"/>
        <w:rPr>
          <w:rFonts w:hint="eastAsia" w:ascii="仿宋" w:hAnsi="仿宋" w:eastAsia="仿宋" w:cs="仿宋"/>
          <w:color w:val="auto"/>
          <w:sz w:val="32"/>
          <w:szCs w:val="32"/>
        </w:rPr>
      </w:pPr>
    </w:p>
    <w:p>
      <w:pPr>
        <w:widowControl/>
        <w:jc w:val="left"/>
        <w:textAlignment w:val="center"/>
        <w:rPr>
          <w:rFonts w:hint="eastAsia" w:ascii="黑体" w:hAnsi="黑体" w:eastAsia="黑体" w:cs="黑体"/>
          <w:color w:val="auto"/>
          <w:kern w:val="0"/>
          <w:sz w:val="32"/>
          <w:szCs w:val="32"/>
        </w:rPr>
        <w:sectPr>
          <w:headerReference r:id="rId3" w:type="default"/>
          <w:footerReference r:id="rId4" w:type="default"/>
          <w:pgSz w:w="11850" w:h="16783"/>
          <w:pgMar w:top="1984" w:right="1474" w:bottom="1701" w:left="1587" w:header="851" w:footer="992" w:gutter="0"/>
          <w:lnNumType w:countBy="0" w:distance="360"/>
          <w:pgNumType w:fmt="numberInDash" w:start="1"/>
          <w:cols w:space="720" w:num="1"/>
          <w:rtlGutter w:val="0"/>
          <w:docGrid w:type="lines" w:linePitch="312" w:charSpace="0"/>
        </w:sectPr>
      </w:pPr>
    </w:p>
    <w:tbl>
      <w:tblPr>
        <w:tblStyle w:val="5"/>
        <w:tblW w:w="14052" w:type="dxa"/>
        <w:tblInd w:w="0" w:type="dxa"/>
        <w:tblLayout w:type="fixed"/>
        <w:tblCellMar>
          <w:top w:w="15" w:type="dxa"/>
          <w:left w:w="15" w:type="dxa"/>
          <w:bottom w:w="15" w:type="dxa"/>
          <w:right w:w="15" w:type="dxa"/>
        </w:tblCellMar>
      </w:tblPr>
      <w:tblGrid>
        <w:gridCol w:w="1260"/>
        <w:gridCol w:w="1320"/>
        <w:gridCol w:w="1620"/>
        <w:gridCol w:w="6495"/>
        <w:gridCol w:w="1680"/>
        <w:gridCol w:w="1677"/>
      </w:tblGrid>
      <w:tr>
        <w:tblPrEx>
          <w:tblLayout w:type="fixed"/>
          <w:tblCellMar>
            <w:top w:w="15" w:type="dxa"/>
            <w:left w:w="15" w:type="dxa"/>
            <w:bottom w:w="15" w:type="dxa"/>
            <w:right w:w="15" w:type="dxa"/>
          </w:tblCellMar>
        </w:tblPrEx>
        <w:trPr>
          <w:trHeight w:val="405" w:hRule="atLeast"/>
        </w:trPr>
        <w:tc>
          <w:tcPr>
            <w:tcW w:w="10695" w:type="dxa"/>
            <w:gridSpan w:val="4"/>
            <w:vAlign w:val="center"/>
          </w:tcPr>
          <w:p>
            <w:pPr>
              <w:widowControl/>
              <w:jc w:val="left"/>
              <w:textAlignment w:val="center"/>
              <w:rPr>
                <w:rFonts w:ascii="仿宋_GB2312" w:hAnsi="宋体" w:eastAsia="仿宋_GB2312" w:cs="仿宋_GB2312"/>
                <w:color w:val="auto"/>
                <w:sz w:val="32"/>
                <w:szCs w:val="32"/>
              </w:rPr>
            </w:pPr>
            <w:r>
              <w:rPr>
                <w:rFonts w:hint="eastAsia" w:ascii="黑体" w:hAnsi="黑体" w:eastAsia="黑体" w:cs="黑体"/>
                <w:color w:val="auto"/>
                <w:kern w:val="0"/>
                <w:sz w:val="32"/>
                <w:szCs w:val="32"/>
              </w:rPr>
              <w:t>附件1</w:t>
            </w:r>
          </w:p>
        </w:tc>
        <w:tc>
          <w:tcPr>
            <w:tcW w:w="1680" w:type="dxa"/>
            <w:vAlign w:val="center"/>
          </w:tcPr>
          <w:p>
            <w:pPr>
              <w:jc w:val="center"/>
              <w:rPr>
                <w:rFonts w:hint="eastAsia" w:ascii="仿宋_GB2312" w:hAnsi="宋体" w:eastAsia="仿宋_GB2312" w:cs="仿宋_GB2312"/>
                <w:color w:val="auto"/>
                <w:sz w:val="24"/>
              </w:rPr>
            </w:pPr>
          </w:p>
        </w:tc>
        <w:tc>
          <w:tcPr>
            <w:tcW w:w="1677" w:type="dxa"/>
            <w:vAlign w:val="center"/>
          </w:tcPr>
          <w:p>
            <w:pPr>
              <w:jc w:val="left"/>
              <w:rPr>
                <w:rFonts w:hint="eastAsia" w:ascii="仿宋_GB2312" w:hAnsi="宋体" w:eastAsia="仿宋_GB2312" w:cs="仿宋_GB2312"/>
                <w:color w:val="auto"/>
                <w:sz w:val="24"/>
              </w:rPr>
            </w:pPr>
          </w:p>
        </w:tc>
      </w:tr>
      <w:tr>
        <w:tblPrEx>
          <w:tblLayout w:type="fixed"/>
          <w:tblCellMar>
            <w:top w:w="15" w:type="dxa"/>
            <w:left w:w="15" w:type="dxa"/>
            <w:bottom w:w="15" w:type="dxa"/>
            <w:right w:w="15" w:type="dxa"/>
          </w:tblCellMar>
        </w:tblPrEx>
        <w:trPr>
          <w:trHeight w:val="420" w:hRule="atLeast"/>
        </w:trPr>
        <w:tc>
          <w:tcPr>
            <w:tcW w:w="14052" w:type="dxa"/>
            <w:gridSpan w:val="6"/>
            <w:vAlign w:val="center"/>
          </w:tcPr>
          <w:p>
            <w:pPr>
              <w:widowControl/>
              <w:jc w:val="center"/>
              <w:textAlignment w:val="center"/>
              <w:rPr>
                <w:rFonts w:hint="eastAsia" w:ascii="仿宋_GB2312" w:hAnsi="宋体" w:eastAsia="仿宋_GB2312" w:cs="仿宋_GB2312"/>
                <w:b/>
                <w:color w:val="auto"/>
                <w:sz w:val="32"/>
                <w:szCs w:val="32"/>
              </w:rPr>
            </w:pPr>
            <w:r>
              <w:rPr>
                <w:rFonts w:hint="eastAsia" w:ascii="仿宋_GB2312" w:hAnsi="宋体" w:eastAsia="仿宋_GB2312" w:cs="仿宋_GB2312"/>
                <w:b/>
                <w:color w:val="auto"/>
                <w:kern w:val="0"/>
                <w:sz w:val="32"/>
                <w:szCs w:val="32"/>
              </w:rPr>
              <w:t>公路施工企业信用行为评定标准</w:t>
            </w:r>
          </w:p>
        </w:tc>
      </w:tr>
      <w:tr>
        <w:tblPrEx>
          <w:tblLayout w:type="fixed"/>
          <w:tblCellMar>
            <w:top w:w="15" w:type="dxa"/>
            <w:left w:w="15" w:type="dxa"/>
            <w:bottom w:w="15" w:type="dxa"/>
            <w:right w:w="15" w:type="dxa"/>
          </w:tblCellMar>
        </w:tblPrEx>
        <w:trPr>
          <w:trHeight w:val="690" w:hRule="atLeast"/>
        </w:trPr>
        <w:tc>
          <w:tcPr>
            <w:tcW w:w="2580" w:type="dxa"/>
            <w:gridSpan w:val="2"/>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评定内容</w:t>
            </w:r>
          </w:p>
        </w:tc>
        <w:tc>
          <w:tcPr>
            <w:tcW w:w="1620" w:type="dxa"/>
            <w:tcBorders>
              <w:top w:val="single" w:color="000000" w:sz="12"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行为代码</w:t>
            </w:r>
          </w:p>
        </w:tc>
        <w:tc>
          <w:tcPr>
            <w:tcW w:w="6495" w:type="dxa"/>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不良行为</w:t>
            </w:r>
          </w:p>
        </w:tc>
        <w:tc>
          <w:tcPr>
            <w:tcW w:w="1680" w:type="dxa"/>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行为等级和扣分标准</w:t>
            </w:r>
          </w:p>
        </w:tc>
        <w:tc>
          <w:tcPr>
            <w:tcW w:w="1677" w:type="dxa"/>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条文说明</w:t>
            </w:r>
          </w:p>
        </w:tc>
      </w:tr>
      <w:tr>
        <w:tblPrEx>
          <w:tblLayout w:type="fixed"/>
          <w:tblCellMar>
            <w:top w:w="15" w:type="dxa"/>
            <w:left w:w="15" w:type="dxa"/>
            <w:bottom w:w="15" w:type="dxa"/>
            <w:right w:w="15" w:type="dxa"/>
          </w:tblCellMar>
        </w:tblPrEx>
        <w:trPr>
          <w:trHeight w:val="450" w:hRule="atLeast"/>
        </w:trPr>
        <w:tc>
          <w:tcPr>
            <w:tcW w:w="1260" w:type="dxa"/>
            <w:vMerge w:val="restart"/>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投标行为（满分100，扣完为止。行为代码GLSG1）</w:t>
            </w:r>
          </w:p>
        </w:tc>
        <w:tc>
          <w:tcPr>
            <w:tcW w:w="1320"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GLSG1-1</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超越资质等级承揽工程</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直接定为D级</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GLSG1-2</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出借资质，允许其他单位或个人以本单位名义承揽工程</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直接定为D级</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GLSG1-3</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借用他人资质证书承揽工程</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直接定为D级</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GLSG1-4</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与招标人或与其他投标人串通投标</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直接定为D级</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GLSG1-5</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投标中有行贿行为</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直接定为D级</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69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GLSG1-6</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因违反法律、法规、规章被禁止投标后，在禁止期内仍参与投标</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D级延期半年/次</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GLSG1-7</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资审材料或投标文件虚假骗取中标</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40分/次</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GLSG1-8</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资审材料或投标文件虚假未中标</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30分/次</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GLSG1-9</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虚假投诉举报</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20分/次</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r>
              <w:rPr>
                <w:rFonts w:hint="eastAsia" w:ascii="仿宋_GB2312" w:hAnsi="宋体" w:eastAsia="仿宋_GB2312" w:cs="仿宋_GB2312"/>
                <w:b/>
                <w:color w:val="auto"/>
                <w:sz w:val="22"/>
                <w:szCs w:val="22"/>
              </w:rPr>
              <w:t>当年度省内信用等级降一级</w:t>
            </w:r>
          </w:p>
        </w:tc>
      </w:tr>
      <w:tr>
        <w:tblPrEx>
          <w:tblLayout w:type="fixed"/>
          <w:tblCellMar>
            <w:top w:w="15" w:type="dxa"/>
            <w:left w:w="15" w:type="dxa"/>
            <w:bottom w:w="15" w:type="dxa"/>
            <w:right w:w="15" w:type="dxa"/>
          </w:tblCellMar>
        </w:tblPrEx>
        <w:trPr>
          <w:trHeight w:val="99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GLSG1-10</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中标后无正当理由放弃中标</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20分/次</w:t>
            </w:r>
          </w:p>
        </w:tc>
        <w:tc>
          <w:tcPr>
            <w:tcW w:w="1677"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因评标时间过长,材料价格上涨过快造成成本价发生较大变化的除外</w:t>
            </w:r>
          </w:p>
        </w:tc>
      </w:tr>
      <w:tr>
        <w:tblPrEx>
          <w:tblLayout w:type="fixed"/>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GLSG1-11</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对同一合同段递交多份资格预审申请文件或投标文件</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5分/次</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GLSG1-12</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非招标人或招标文件原因放弃投标，未提前书面告知招标人</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6分/次</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GLSG1-13</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未按时确认补遗书等招标人发出的通知</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1分/次</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GLSG1-14</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不及时反馈评标澄清</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1分/次</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GLSG1-15</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无正当理由拖延合同签订时间</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2分/次</w:t>
            </w:r>
          </w:p>
        </w:tc>
        <w:tc>
          <w:tcPr>
            <w:tcW w:w="1677"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因合同谈判原因的除外</w:t>
            </w:r>
          </w:p>
        </w:tc>
      </w:tr>
      <w:tr>
        <w:tblPrEx>
          <w:tblLayout w:type="fixed"/>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b/>
                <w:color w:val="auto"/>
                <w:sz w:val="20"/>
                <w:szCs w:val="20"/>
              </w:rPr>
            </w:pPr>
            <w:r>
              <w:rPr>
                <w:rFonts w:hint="eastAsia" w:ascii="仿宋_GB2312" w:hAnsi="宋体" w:eastAsia="仿宋_GB2312" w:cs="仿宋_GB2312"/>
                <w:b/>
                <w:color w:val="auto"/>
                <w:kern w:val="0"/>
                <w:sz w:val="20"/>
                <w:szCs w:val="20"/>
              </w:rPr>
              <w:t>省交通运输厅增加的其他被认为失信的招投标行为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b/>
                <w:color w:val="auto"/>
                <w:sz w:val="22"/>
                <w:szCs w:val="22"/>
              </w:rPr>
            </w:pPr>
            <w:r>
              <w:rPr>
                <w:rFonts w:hint="eastAsia" w:ascii="仿宋_GB2312" w:hAnsi="宋体" w:eastAsia="仿宋_GB2312" w:cs="仿宋_GB2312"/>
                <w:b/>
                <w:color w:val="auto"/>
                <w:kern w:val="0"/>
                <w:sz w:val="22"/>
                <w:szCs w:val="22"/>
              </w:rPr>
              <w:t>GLSG1-16－1</w:t>
            </w:r>
          </w:p>
        </w:tc>
        <w:tc>
          <w:tcPr>
            <w:tcW w:w="64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b/>
                <w:color w:val="auto"/>
                <w:sz w:val="22"/>
                <w:szCs w:val="22"/>
              </w:rPr>
            </w:pPr>
            <w:r>
              <w:rPr>
                <w:rFonts w:hint="eastAsia" w:ascii="仿宋_GB2312" w:hAnsi="宋体" w:eastAsia="仿宋_GB2312" w:cs="仿宋_GB2312"/>
                <w:b/>
                <w:i w:val="0"/>
                <w:color w:val="auto"/>
                <w:kern w:val="0"/>
                <w:sz w:val="22"/>
                <w:szCs w:val="22"/>
                <w:u w:val="none"/>
                <w:lang w:val="en-US" w:eastAsia="zh-CN" w:bidi="ar-SA"/>
              </w:rPr>
              <w:t>投标人资格预审后放弃投标、不填写投标报价、投标报价超过最高限价的</w:t>
            </w:r>
          </w:p>
        </w:tc>
        <w:tc>
          <w:tcPr>
            <w:tcW w:w="16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b/>
                <w:color w:val="auto"/>
                <w:sz w:val="22"/>
                <w:szCs w:val="22"/>
              </w:rPr>
            </w:pPr>
            <w:r>
              <w:rPr>
                <w:rFonts w:hint="eastAsia" w:ascii="仿宋_GB2312" w:hAnsi="宋体" w:eastAsia="仿宋_GB2312" w:cs="仿宋_GB2312"/>
                <w:b/>
                <w:i w:val="0"/>
                <w:color w:val="auto"/>
                <w:kern w:val="0"/>
                <w:sz w:val="22"/>
                <w:szCs w:val="22"/>
                <w:u w:val="none"/>
                <w:lang w:val="en-US" w:eastAsia="zh-CN" w:bidi="ar-SA"/>
              </w:rPr>
              <w:t>10分/次</w:t>
            </w:r>
          </w:p>
        </w:tc>
        <w:tc>
          <w:tcPr>
            <w:tcW w:w="1677"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left"/>
              <w:textAlignment w:val="center"/>
              <w:rPr>
                <w:rFonts w:hint="eastAsia" w:ascii="仿宋_GB2312" w:hAnsi="宋体" w:eastAsia="仿宋_GB2312" w:cs="仿宋_GB2312"/>
                <w:b/>
                <w:color w:val="auto"/>
                <w:sz w:val="22"/>
                <w:szCs w:val="22"/>
              </w:rPr>
            </w:pPr>
            <w:r>
              <w:rPr>
                <w:rFonts w:hint="eastAsia" w:ascii="仿宋_GB2312" w:hAnsi="宋体" w:eastAsia="仿宋_GB2312" w:cs="仿宋_GB2312"/>
                <w:b/>
                <w:i w:val="0"/>
                <w:color w:val="auto"/>
                <w:kern w:val="0"/>
                <w:sz w:val="22"/>
                <w:szCs w:val="22"/>
                <w:u w:val="none"/>
                <w:lang w:val="en-US" w:eastAsia="zh-CN" w:bidi="ar-SA"/>
              </w:rPr>
              <w:t>出现3次的，陕西省内信用等级直接定为D级</w:t>
            </w:r>
          </w:p>
        </w:tc>
      </w:tr>
      <w:tr>
        <w:tblPrEx>
          <w:tblLayout w:type="fixed"/>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left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b/>
                <w:color w:val="auto"/>
                <w:kern w:val="0"/>
                <w:sz w:val="20"/>
                <w:szCs w:val="20"/>
              </w:rPr>
            </w:pP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b/>
                <w:color w:val="auto"/>
                <w:kern w:val="0"/>
                <w:sz w:val="22"/>
                <w:szCs w:val="22"/>
              </w:rPr>
            </w:pPr>
            <w:r>
              <w:rPr>
                <w:rFonts w:hint="eastAsia" w:ascii="仿宋_GB2312" w:hAnsi="宋体" w:eastAsia="仿宋_GB2312" w:cs="仿宋_GB2312"/>
                <w:b/>
                <w:i w:val="0"/>
                <w:color w:val="auto"/>
                <w:kern w:val="0"/>
                <w:sz w:val="22"/>
                <w:szCs w:val="22"/>
                <w:u w:val="none"/>
                <w:lang w:val="en-US" w:eastAsia="zh-CN" w:bidi="ar-SA"/>
              </w:rPr>
              <w:t>GLSG1-16－2</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b/>
                <w:color w:val="auto"/>
                <w:kern w:val="0"/>
                <w:sz w:val="22"/>
                <w:szCs w:val="22"/>
              </w:rPr>
            </w:pPr>
            <w:r>
              <w:rPr>
                <w:rFonts w:hint="eastAsia" w:ascii="仿宋_GB2312" w:hAnsi="宋体" w:eastAsia="仿宋_GB2312" w:cs="仿宋_GB2312"/>
                <w:b/>
                <w:color w:val="auto"/>
                <w:kern w:val="0"/>
                <w:sz w:val="22"/>
                <w:szCs w:val="22"/>
              </w:rPr>
              <w:t>其他被认为失信的投标行为</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b/>
                <w:color w:val="auto"/>
                <w:kern w:val="0"/>
                <w:sz w:val="22"/>
                <w:szCs w:val="22"/>
              </w:rPr>
            </w:pPr>
            <w:r>
              <w:rPr>
                <w:rFonts w:hint="eastAsia" w:ascii="仿宋_GB2312" w:hAnsi="宋体" w:eastAsia="仿宋_GB2312" w:cs="仿宋_GB2312"/>
                <w:b/>
                <w:color w:val="auto"/>
                <w:kern w:val="0"/>
                <w:sz w:val="22"/>
                <w:szCs w:val="22"/>
              </w:rPr>
              <w:t>1—10分</w:t>
            </w:r>
          </w:p>
        </w:tc>
        <w:tc>
          <w:tcPr>
            <w:tcW w:w="1677"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仿宋_GB2312" w:hAnsi="宋体" w:eastAsia="仿宋_GB2312" w:cs="仿宋_GB2312"/>
                <w:b/>
                <w:color w:val="auto"/>
                <w:kern w:val="0"/>
                <w:sz w:val="22"/>
                <w:szCs w:val="22"/>
              </w:rPr>
            </w:pPr>
            <w:r>
              <w:rPr>
                <w:rFonts w:hint="eastAsia" w:ascii="仿宋_GB2312" w:hAnsi="宋体" w:eastAsia="仿宋_GB2312" w:cs="仿宋_GB2312"/>
                <w:b/>
                <w:color w:val="auto"/>
                <w:kern w:val="0"/>
                <w:sz w:val="22"/>
                <w:szCs w:val="22"/>
              </w:rPr>
              <w:t>省交通运输厅在实施期间可根据实际情况再进一步细化</w:t>
            </w:r>
          </w:p>
        </w:tc>
      </w:tr>
      <w:tr>
        <w:tblPrEx>
          <w:tblLayout w:type="fixed"/>
          <w:tblCellMar>
            <w:top w:w="15" w:type="dxa"/>
            <w:left w:w="15" w:type="dxa"/>
            <w:bottom w:w="15" w:type="dxa"/>
            <w:right w:w="15" w:type="dxa"/>
          </w:tblCellMar>
        </w:tblPrEx>
        <w:trPr>
          <w:trHeight w:val="450" w:hRule="atLeast"/>
        </w:trPr>
        <w:tc>
          <w:tcPr>
            <w:tcW w:w="1260" w:type="dxa"/>
            <w:vMerge w:val="restart"/>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br w:type="textWrapping"/>
            </w:r>
            <w:r>
              <w:rPr>
                <w:rFonts w:hint="eastAsia" w:ascii="仿宋_GB2312" w:hAnsi="宋体" w:eastAsia="仿宋_GB2312" w:cs="仿宋_GB2312"/>
                <w:color w:val="auto"/>
                <w:kern w:val="0"/>
                <w:sz w:val="22"/>
                <w:szCs w:val="22"/>
              </w:rPr>
              <w:br w:type="textWrapping"/>
            </w:r>
            <w:r>
              <w:rPr>
                <w:rFonts w:hint="eastAsia" w:ascii="仿宋_GB2312" w:hAnsi="宋体" w:eastAsia="仿宋_GB2312" w:cs="仿宋_GB2312"/>
                <w:color w:val="auto"/>
                <w:kern w:val="0"/>
                <w:sz w:val="22"/>
                <w:szCs w:val="22"/>
              </w:rPr>
              <w:br w:type="textWrapping"/>
            </w:r>
            <w:r>
              <w:rPr>
                <w:rFonts w:hint="eastAsia" w:ascii="仿宋_GB2312" w:hAnsi="宋体" w:eastAsia="仿宋_GB2312" w:cs="仿宋_GB2312"/>
                <w:color w:val="auto"/>
                <w:kern w:val="0"/>
                <w:sz w:val="22"/>
                <w:szCs w:val="22"/>
              </w:rPr>
              <w:br w:type="textWrapping"/>
            </w:r>
            <w:r>
              <w:rPr>
                <w:rFonts w:hint="eastAsia" w:ascii="仿宋_GB2312" w:hAnsi="宋体" w:eastAsia="仿宋_GB2312" w:cs="仿宋_GB2312"/>
                <w:color w:val="auto"/>
                <w:kern w:val="0"/>
                <w:sz w:val="22"/>
                <w:szCs w:val="22"/>
              </w:rPr>
              <w:br w:type="textWrapping"/>
            </w:r>
            <w:r>
              <w:rPr>
                <w:rFonts w:hint="eastAsia" w:ascii="仿宋_GB2312" w:hAnsi="宋体" w:eastAsia="仿宋_GB2312" w:cs="仿宋_GB2312"/>
                <w:color w:val="auto"/>
                <w:kern w:val="0"/>
                <w:sz w:val="22"/>
                <w:szCs w:val="22"/>
              </w:rPr>
              <w:br w:type="textWrapping"/>
            </w:r>
            <w:r>
              <w:rPr>
                <w:rFonts w:hint="eastAsia" w:ascii="仿宋_GB2312" w:hAnsi="宋体" w:eastAsia="仿宋_GB2312" w:cs="仿宋_GB2312"/>
                <w:color w:val="auto"/>
                <w:kern w:val="0"/>
                <w:sz w:val="22"/>
                <w:szCs w:val="22"/>
              </w:rPr>
              <w:br w:type="textWrapping"/>
            </w:r>
            <w:r>
              <w:rPr>
                <w:rFonts w:hint="eastAsia" w:ascii="仿宋_GB2312" w:hAnsi="宋体" w:eastAsia="仿宋_GB2312" w:cs="仿宋_GB2312"/>
                <w:color w:val="auto"/>
                <w:kern w:val="0"/>
                <w:sz w:val="22"/>
                <w:szCs w:val="22"/>
              </w:rPr>
              <w:t>履约行为</w:t>
            </w:r>
            <w:r>
              <w:rPr>
                <w:rFonts w:hint="eastAsia" w:ascii="仿宋_GB2312" w:hAnsi="宋体" w:eastAsia="仿宋_GB2312" w:cs="仿宋_GB2312"/>
                <w:color w:val="auto"/>
                <w:kern w:val="0"/>
                <w:sz w:val="22"/>
                <w:szCs w:val="22"/>
              </w:rPr>
              <w:br w:type="textWrapping"/>
            </w:r>
            <w:r>
              <w:rPr>
                <w:rFonts w:hint="eastAsia" w:ascii="仿宋_GB2312" w:hAnsi="宋体" w:eastAsia="仿宋_GB2312" w:cs="仿宋_GB2312"/>
                <w:color w:val="auto"/>
                <w:kern w:val="0"/>
                <w:sz w:val="22"/>
                <w:szCs w:val="22"/>
              </w:rPr>
              <w:t>（满分100，扣完为止。GLSG2）</w:t>
            </w:r>
          </w:p>
        </w:tc>
        <w:tc>
          <w:tcPr>
            <w:tcW w:w="13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严重不良行为（行为代码GLSG2-1）</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GLSG2-1-1</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将中标合同转让</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直接定为D级</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GLSG2-1-2</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将合同段全部工作内容肢解后分别分包</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直接定为D级</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GLSG2-1-3</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发生重大质量或重大及以上安全生产责任事故</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直接定为D级</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69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GLSG2-1-4</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经质监机构鉴定合同段工程质量不合格,或施工管理综合评价为差</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直接定为D级</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GLSG2-1-5</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造成生态环境破坏或乱占土地，造成较大影响</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20分/次</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GLSG2-1-6</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发生较大安全生产责任事故</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20分/次</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GLSG2-1-7</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将承包工程违法分包</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30分/次</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GLSG2-1-8</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承包人疏于管理，分包工程再次分包</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20分/次</w:t>
            </w:r>
          </w:p>
        </w:tc>
        <w:tc>
          <w:tcPr>
            <w:tcW w:w="1677"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不含劳务分包</w:t>
            </w:r>
          </w:p>
        </w:tc>
      </w:tr>
      <w:tr>
        <w:tblPrEx>
          <w:tblLayout w:type="fixed"/>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GLSG2-1-9</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违反公路工程建设强制性标准</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30分/次</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人员、设备到位（满分10，扣完为止。行为代码GLSG2-2）</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GLSG2-2-1</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签订合同后无正当理由不按投标文件承诺时间进场</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2分/延迟十日</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69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GLSG2-2-2</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项目经理未按投标承诺到位，或在施工期间所更换项目经理资格降低，或未经批准擅自更换</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4分/人次</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GLSG2-2-3</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项目经理在施工期间不低于原资格更换</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0.5分/人次</w:t>
            </w:r>
          </w:p>
        </w:tc>
        <w:tc>
          <w:tcPr>
            <w:tcW w:w="1677"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项目法人要求更换的除外</w:t>
            </w:r>
          </w:p>
        </w:tc>
      </w:tr>
      <w:tr>
        <w:tblPrEx>
          <w:tblLayout w:type="fixed"/>
          <w:tblCellMar>
            <w:top w:w="15" w:type="dxa"/>
            <w:left w:w="15" w:type="dxa"/>
            <w:bottom w:w="15" w:type="dxa"/>
            <w:right w:w="15" w:type="dxa"/>
          </w:tblCellMar>
        </w:tblPrEx>
        <w:trPr>
          <w:trHeight w:val="69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GLSG2-2-4</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技术负责人未按投标承诺到位，或在施工期间更换人员资格降低，或未经批准擅自更换</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3分/人次</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GLSG2-2-5</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技术负责人在施工期间不低于原人员资格更换</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0.3分/人次</w:t>
            </w:r>
          </w:p>
        </w:tc>
        <w:tc>
          <w:tcPr>
            <w:tcW w:w="1677"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项目法人要求更换的除外</w:t>
            </w:r>
          </w:p>
        </w:tc>
      </w:tr>
      <w:tr>
        <w:tblPrEx>
          <w:tblLayout w:type="fixed"/>
          <w:tblCellMar>
            <w:top w:w="15" w:type="dxa"/>
            <w:left w:w="15" w:type="dxa"/>
            <w:bottom w:w="15" w:type="dxa"/>
            <w:right w:w="15" w:type="dxa"/>
          </w:tblCellMar>
        </w:tblPrEx>
        <w:trPr>
          <w:trHeight w:val="69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GLSG2-2-6</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安全员或其他注册执业人员未按投标承诺到位,或无正当理由更换</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0.5分/人次</w:t>
            </w:r>
          </w:p>
        </w:tc>
        <w:tc>
          <w:tcPr>
            <w:tcW w:w="1677"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项目法人要求更换的除外</w:t>
            </w:r>
          </w:p>
        </w:tc>
      </w:tr>
      <w:tr>
        <w:tblPrEx>
          <w:tblLayout w:type="fixed"/>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GLSG2-2-7</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主要工程管理、技术人员未按投标承诺到位</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0.2分/人次</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GLSG2-2-8</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主要施工机械、试验检测设备未按投标承诺或工程需要到位</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0.5—1分/台套</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69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GLSG2-2-9</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有关人员未按要求持证上岗</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1分/人次</w:t>
            </w:r>
          </w:p>
        </w:tc>
        <w:tc>
          <w:tcPr>
            <w:tcW w:w="1677"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按照有关管理文件、招标文件要求检查</w:t>
            </w:r>
          </w:p>
        </w:tc>
      </w:tr>
      <w:tr>
        <w:tblPrEx>
          <w:tblLayout w:type="fixed"/>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GLSG2-2-10</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未按规定签订劳务用工合同</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2分/次</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质量管理、进度管理（满分50，扣完为止。行为代码GLSG2-3）</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GLSG2-3-1</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拒绝或阻碍依法进行公路建设监督检查工作</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8分/次</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GLSG2-3-2</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未对职工进行专项教育和培训</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0.5分/人次</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GLSG2-3-3</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质量保证体系或质量保证措施不健全</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3分</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90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GLSG2-3-4</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特殊季节施工预防措施不健全</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2分/次</w:t>
            </w:r>
          </w:p>
        </w:tc>
        <w:tc>
          <w:tcPr>
            <w:tcW w:w="1677"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对季节性施工有特殊预防要求的，如雨季、冬季施工，应有相应预防措施</w:t>
            </w:r>
          </w:p>
        </w:tc>
      </w:tr>
      <w:tr>
        <w:tblPrEx>
          <w:tblLayout w:type="fixed"/>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GLSG2-3-5</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未建立工程质量责任登记制度</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8分</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GLSG2-3-6</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使用不合格的建筑材料、建筑构配件和设备</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10分/次</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GLSG2-3-7</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不按设计图纸施工</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8分/次</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GLSG2-3-8</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不按施工技术标准、规范施工</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5分/次</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GLSG2-3-9</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未经监理签认进入下道工序或分项工程</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3分/次</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69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GLSG2-3-10</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未经监理签认将建筑材料、建筑构配件和设备在工程上使用或安装</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3分/次</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GLSG2-3-11</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监理下达停工指令拒不执行</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5分/次</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90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GLSG2-3-12</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未对建筑材料、建筑构配件、设备和商品混凝土进行检验，或者未对涉及结构安全的试块、试件以及有关材料取样检测直接使用</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5分/次</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GLSG2-3-13</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施工过程中偷工减料</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5分/次</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90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GLSG2-3-14</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原材料堆放混乱，对使用质量造成影响</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3分/次</w:t>
            </w:r>
          </w:p>
        </w:tc>
        <w:tc>
          <w:tcPr>
            <w:tcW w:w="1677"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如砂石材料堆放未分界、场地未硬化、未采取防雨防潮措施等</w:t>
            </w:r>
          </w:p>
        </w:tc>
      </w:tr>
      <w:tr>
        <w:tblPrEx>
          <w:tblLayout w:type="fixed"/>
          <w:tblCellMar>
            <w:top w:w="15" w:type="dxa"/>
            <w:left w:w="15" w:type="dxa"/>
            <w:bottom w:w="15" w:type="dxa"/>
            <w:right w:w="15" w:type="dxa"/>
          </w:tblCellMar>
        </w:tblPrEx>
        <w:trPr>
          <w:trHeight w:val="90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GLSG2-3-15</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工程检查中抽测实体质量不合格</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6分/次</w:t>
            </w:r>
          </w:p>
        </w:tc>
        <w:tc>
          <w:tcPr>
            <w:tcW w:w="1677"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指交通主管部门组织的督查或项目法人组织的正式检查</w:t>
            </w:r>
          </w:p>
        </w:tc>
      </w:tr>
      <w:tr>
        <w:tblPrEx>
          <w:tblLayout w:type="fixed"/>
          <w:tblCellMar>
            <w:top w:w="15" w:type="dxa"/>
            <w:left w:w="15" w:type="dxa"/>
            <w:bottom w:w="15" w:type="dxa"/>
            <w:right w:w="15" w:type="dxa"/>
          </w:tblCellMar>
        </w:tblPrEx>
        <w:trPr>
          <w:trHeight w:val="90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GLSG2-3-16</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因施工原因出现质量问题，对工程实体质量影响不大</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2分/次</w:t>
            </w:r>
          </w:p>
        </w:tc>
        <w:tc>
          <w:tcPr>
            <w:tcW w:w="1677"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如水泥混凝土表面蜂窝麻面、砌筑砂浆不饱满、钢筋混凝土保护层不够等</w:t>
            </w:r>
          </w:p>
        </w:tc>
      </w:tr>
      <w:tr>
        <w:tblPrEx>
          <w:tblLayout w:type="fixed"/>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GLSG2-3-17</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因施工原因发生一般质量责任事故</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15分/次</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90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GLSG2-3-18</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出现质量问题经整改仍达不到要求的</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5分/次</w:t>
            </w:r>
          </w:p>
        </w:tc>
        <w:tc>
          <w:tcPr>
            <w:tcW w:w="1677"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被项目法人或交通主管部门发现有质量问题并要求整改，整改不合格的</w:t>
            </w:r>
          </w:p>
        </w:tc>
      </w:tr>
      <w:tr>
        <w:tblPrEx>
          <w:tblLayout w:type="fixed"/>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GLSG2-3-19</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施工现场管理混乱</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2分/次</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GLSG2-3-20</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内业资料不全或不规范</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1—2分</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GLSG2-3-21</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工地试验室不符合要求</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1—3分</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b/>
                <w:color w:val="auto"/>
                <w:sz w:val="22"/>
                <w:szCs w:val="22"/>
              </w:rPr>
            </w:pPr>
          </w:p>
        </w:tc>
      </w:tr>
      <w:tr>
        <w:tblPrEx>
          <w:tblLayout w:type="fixed"/>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GLSG2-3-22</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试验检测数据或内业资料虚假</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5分/次</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GLSG2-3-23</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因施工单位原因造成工程进度滞后计划工期或合同工期</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1分/延迟十日</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GLSG2-3-24</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未达到合同约定的质量标准</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10分</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GLSG2-3-25</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不配合业主进行交工验收</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3分/次</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GLSG2-3-26</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不履行保修义务或者拖延履行保修义务</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10分</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财务管理（满分10，扣完为止。行为代码GLSG2-4）</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GLSG2-4-1</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财务管理制度不健全</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5分/次</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GLSG2-4-2</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财务管理混乱，管理台帐不完备</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5分/次</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GLSG2-4-3</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工程变更弄虚作假</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6分/次</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GLSG2-4-4</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虚假计量</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5分/次</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GLSG2-4-5</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流动资金不能满足工程建设</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5分/次</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GLSG2-4-6</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挪用工程款，造成管理混乱、进度滞后等不良影响</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10分/次</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69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GLSG2-4-7</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因施工企业原因拖欠工程款、农民工工资、材料款，尚未造成影响</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0.5分/次</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安全生产（满分20，扣完为止。行为代码GLSG2-5）</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GLSG2-5-1</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因施工企业原因未签订安全生产合同</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3分</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69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GLSG2-5-2</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未建立健全安全生产规章制度、操作规程或安全生产保证体系</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1—3分</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69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GLSG2-5-3</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项目负责人、专职安全生产管理人员、作业人员或者特种作业人员，未经安全教育培训或考核不合格即从事相关工作</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3分/次</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69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GLSG2-5-4</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未对职工进行安全生产教育和培训，或者未如实告知有关安全生产事项</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2分/次</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90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GLSG2-5-5</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未在施工现场的危险部位设置明显的安全警示标志和安全防护，或者未按照国家有关规定在施工现场设置消防通道、消防水源、配备消防设施和灭火器材</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2分/次</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GLSG2-5-6</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未向作业人员提供安全防护用具和安全防护服装</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1分/次</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1095"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GLSG2-5-7</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特种设备未经具有专业资质的机构检测、检验合格，取得安全使用证或者安全标志，投入使用。或使用未经验收或者验收不合格的施工起重机械和整体提升脚手架、模板等自升式架设设施</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5分/次</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GLSG2-5-8</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使用国家明令淘汰、禁止使用的危及生产安全的工艺、设备</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6分/次</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69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GLSG2-5-9</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储存、使用危险物品，未建立专门安全管理制度、未采取可靠的安全措施或者不接受有关主管部门依法实施的监督管理</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4分/次</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69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GLSG2-5-10</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对重大危险源未登记建档，或者未进行评估、监控，或者未制定应急预案</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4分/次</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69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GLSG2-5-11</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进行爆破、吊装等危险作业，未安排专门管理人员进行现场安全管理</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3分/次</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90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GLSG2-5-12</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两个以上单位在同一作业区域内进行可能危及对方安全生产的生产经营活动，因自身原因未签订安全生产管理协议或者未指定专职安全生产管理人员进行安全检查与协调</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3分/次</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1095"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GLSG2-5-13</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储存、使用危险物品的车间、仓库与员工宿舍在同一座建筑内，或者与员工宿舍的距离不符合安全要求；施工现场和员工宿舍未设有符合紧急疏散需要、标志明显、保持畅通的出口，或者封闭、堵塞施工现场或者员工宿舍出口</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3分/次</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GLSG2-5-14</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从业人员不服从管理，违反安全生产规章制度或者操作规程</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2分/次</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GLSG2-5-15</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未及时、如实报告生产安全事故</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5分/次</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69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GLSG2-5-16</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主要负责人在本单位发生重大生产安全事故时，不立即组织抢救或者在事故调查处理期间擅离职守或者逃匿</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15分/次</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69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GLSG2-5-17</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挪用列入建设工程概算的安全生产作业环境及安全施工措施所需费用</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2分/次</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GLSG2-5-18</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每项工程实施前，未进行安全生产技术交底</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2分/次</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69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GLSG2-5-19</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未根据不同施工阶段和周围环境及季节、气候的变化，在施工现场采取相应的安全施工措施</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1分/次</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GLSG2-5-20</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施工现场临时搭建的建筑物不符合安全使用要求</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3分/次</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GLSG2-5-21</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对危险性较大的工程未编制专项施工方案并附安全验算结果</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2分/次</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69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GLSG2-5-22</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未对因建设工程施工可能造成损害的毗邻建筑物、构筑物和地下管线等采取专项防护措施</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2分/次</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69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GLSG2-5-23</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安全防护用具、机械设备、施工机具及配件在进入施工现场前未经查验或者查验不合格即投入使用</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2分/次</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69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GLSG2-5-24</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委托不具有相应资质的单位承担施工现场安装、拆卸施工起重机械和整体提升脚手架、模板等自升式架设设施</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10分/次</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90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GLSG2-5-25</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未取得安全生产许可证擅自进行生产，安全生产许可证有效期满未办理延期手续，继续进行生产；逾期仍不办理延期手续，继续进行生产</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15分/次</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GLSG2-5-26</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使用伪造的安全生产许可证</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15分/次</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99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GLSG2-5-27</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多次整改仍然存在安全问题；对存在重大安全事故隐患但拒绝整改或者整改效果不明显</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10分/次</w:t>
            </w:r>
          </w:p>
        </w:tc>
        <w:tc>
          <w:tcPr>
            <w:tcW w:w="1677"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被项目法人或交通主管部门发现有安全生产问题并要求整改，整改不合格的</w:t>
            </w:r>
          </w:p>
        </w:tc>
      </w:tr>
      <w:tr>
        <w:tblPrEx>
          <w:tblLayout w:type="fixed"/>
          <w:tblCellMar>
            <w:top w:w="15" w:type="dxa"/>
            <w:left w:w="15" w:type="dxa"/>
            <w:bottom w:w="15" w:type="dxa"/>
            <w:right w:w="15" w:type="dxa"/>
          </w:tblCellMar>
        </w:tblPrEx>
        <w:trPr>
          <w:trHeight w:val="90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GLSG2-5-28</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在沿海水域进行水上水下施工以及划定相应的安全作业区，未报经主管机关核准公告；施工单位擅自扩大安全作业区范围</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4分/次</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GLSG2-5-29</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施工现场防护不到位，存在安全隐患</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1分/次</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GLSG2-5-30</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未编制安全生产应急预案并落实人员、器材，组织演练</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2分</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bookmarkStart w:id="0" w:name="_GoBack"/>
            <w:bookmarkEnd w:id="0"/>
          </w:p>
        </w:tc>
      </w:tr>
      <w:tr>
        <w:tblPrEx>
          <w:tblLayout w:type="fixed"/>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GLSG2-5-31</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发生一般安全生产责任事故</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10分/次</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GLSG2-5-32</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未办理施工现场人员人身意外伤害保险</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5分/次</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69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restart"/>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社会责任（满分10，扣完为止。行为代码GLSG2-6）</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GLSG2-6-1</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在崩塌滑坡危险区、泥石流易发区范围内取土、挖砂或者采石</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8分/次</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top"/>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GLSG2-6-2</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施工产生的废渣随意堆放或丢弃，废水随意排放</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2分/次</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top"/>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GLSG2-6-3</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施工中破坏生态环境</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3分/次</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top"/>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GLSG2-6-4</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 xml:space="preserve">施工过程中造成水土流失，不进行治理 </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4分/次</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top"/>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GLSG2-6-5</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生活区、办公区设置杂乱，卫生环境差</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3分/次</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top"/>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GLSG2-6-6</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建设项目出现突发事件，拒不执行应急或救援任务</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10分/次</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top"/>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GLSG2-6-7</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乱占土地、草场</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3分/次</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top"/>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GLSG2-6-8</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临时占用农田、林地等未及时复垦或恢复原状</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5分/次</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top"/>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GLSG2-6-9</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未按要求签订廉政合同</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5分/次</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top"/>
          </w:tcPr>
          <w:p>
            <w:pPr>
              <w:jc w:val="center"/>
              <w:rPr>
                <w:rFonts w:hint="eastAsia" w:ascii="仿宋_GB2312" w:hAnsi="宋体" w:eastAsia="仿宋_GB2312" w:cs="仿宋_GB2312"/>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GLSG2-6-10</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违反廉政合同</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5分/人次</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69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b w:val="0"/>
                <w:bCs/>
                <w:color w:val="auto"/>
                <w:sz w:val="22"/>
                <w:szCs w:val="22"/>
              </w:rPr>
            </w:pPr>
            <w:r>
              <w:rPr>
                <w:rFonts w:hint="eastAsia" w:ascii="仿宋_GB2312" w:hAnsi="宋体" w:eastAsia="仿宋_GB2312" w:cs="仿宋_GB2312"/>
                <w:b w:val="0"/>
                <w:bCs/>
                <w:color w:val="auto"/>
                <w:kern w:val="0"/>
                <w:sz w:val="22"/>
                <w:szCs w:val="22"/>
              </w:rPr>
              <w:t>省交通运输厅增加的其他被认为失信的履约行为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b w:val="0"/>
                <w:bCs/>
                <w:color w:val="auto"/>
                <w:sz w:val="22"/>
                <w:szCs w:val="22"/>
              </w:rPr>
            </w:pPr>
            <w:r>
              <w:rPr>
                <w:rFonts w:hint="eastAsia" w:ascii="仿宋_GB2312" w:hAnsi="宋体" w:eastAsia="仿宋_GB2312" w:cs="仿宋_GB2312"/>
                <w:b w:val="0"/>
                <w:bCs/>
                <w:color w:val="auto"/>
                <w:kern w:val="0"/>
                <w:sz w:val="22"/>
                <w:szCs w:val="22"/>
              </w:rPr>
              <w:t>GLSG2-7-1</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b w:val="0"/>
                <w:bCs/>
                <w:color w:val="auto"/>
                <w:sz w:val="22"/>
                <w:szCs w:val="22"/>
              </w:rPr>
            </w:pPr>
            <w:r>
              <w:rPr>
                <w:rFonts w:hint="eastAsia" w:ascii="仿宋_GB2312" w:hAnsi="宋体" w:eastAsia="仿宋_GB2312" w:cs="仿宋_GB2312"/>
                <w:b w:val="0"/>
                <w:bCs/>
                <w:color w:val="auto"/>
                <w:kern w:val="0"/>
                <w:sz w:val="22"/>
                <w:szCs w:val="22"/>
              </w:rPr>
              <w:t>由于施工单位原因造成工期拖延，被项目法人发函要求其上级单位督办3次，不能解决问题，影响按期建成通车的</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b w:val="0"/>
                <w:bCs/>
                <w:color w:val="auto"/>
                <w:sz w:val="22"/>
                <w:szCs w:val="22"/>
              </w:rPr>
            </w:pPr>
            <w:r>
              <w:rPr>
                <w:rFonts w:hint="eastAsia" w:ascii="仿宋_GB2312" w:hAnsi="宋体" w:eastAsia="仿宋_GB2312" w:cs="仿宋_GB2312"/>
                <w:b w:val="0"/>
                <w:bCs/>
                <w:color w:val="auto"/>
                <w:kern w:val="0"/>
                <w:sz w:val="22"/>
                <w:szCs w:val="22"/>
              </w:rPr>
              <w:t>直接定为D级</w:t>
            </w:r>
          </w:p>
        </w:tc>
        <w:tc>
          <w:tcPr>
            <w:tcW w:w="1677" w:type="dxa"/>
            <w:tcBorders>
              <w:top w:val="single" w:color="000000" w:sz="4" w:space="0"/>
              <w:left w:val="single" w:color="000000" w:sz="4" w:space="0"/>
              <w:bottom w:val="single" w:color="000000" w:sz="4" w:space="0"/>
              <w:right w:val="single" w:color="000000" w:sz="12" w:space="0"/>
            </w:tcBorders>
            <w:vAlign w:val="center"/>
          </w:tcPr>
          <w:p>
            <w:pPr>
              <w:rPr>
                <w:rFonts w:hint="eastAsia" w:ascii="仿宋_GB2312" w:hAnsi="宋体" w:eastAsia="仿宋_GB2312" w:cs="仿宋_GB2312"/>
                <w:b w:val="0"/>
                <w:bCs/>
                <w:color w:val="auto"/>
                <w:sz w:val="22"/>
                <w:szCs w:val="22"/>
              </w:rPr>
            </w:pPr>
          </w:p>
        </w:tc>
      </w:tr>
      <w:tr>
        <w:tblPrEx>
          <w:tblLayout w:type="fixed"/>
          <w:tblCellMar>
            <w:top w:w="15" w:type="dxa"/>
            <w:left w:w="15" w:type="dxa"/>
            <w:bottom w:w="15" w:type="dxa"/>
            <w:right w:w="15" w:type="dxa"/>
          </w:tblCellMar>
        </w:tblPrEx>
        <w:trPr>
          <w:trHeight w:val="69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b w:val="0"/>
                <w:bCs/>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b w:val="0"/>
                <w:bCs/>
                <w:color w:val="auto"/>
                <w:sz w:val="22"/>
                <w:szCs w:val="22"/>
              </w:rPr>
            </w:pPr>
            <w:r>
              <w:rPr>
                <w:rFonts w:hint="eastAsia" w:ascii="仿宋_GB2312" w:hAnsi="宋体" w:eastAsia="仿宋_GB2312" w:cs="仿宋_GB2312"/>
                <w:b w:val="0"/>
                <w:bCs/>
                <w:color w:val="auto"/>
                <w:kern w:val="0"/>
                <w:sz w:val="22"/>
                <w:szCs w:val="22"/>
              </w:rPr>
              <w:t>GLSG2-7-2</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b w:val="0"/>
                <w:bCs/>
                <w:color w:val="auto"/>
                <w:sz w:val="22"/>
                <w:szCs w:val="22"/>
              </w:rPr>
            </w:pPr>
            <w:r>
              <w:rPr>
                <w:rFonts w:hint="eastAsia" w:ascii="仿宋_GB2312" w:hAnsi="宋体" w:eastAsia="仿宋_GB2312" w:cs="仿宋_GB2312"/>
                <w:b w:val="0"/>
                <w:bCs/>
                <w:color w:val="auto"/>
                <w:kern w:val="0"/>
                <w:sz w:val="22"/>
                <w:szCs w:val="22"/>
              </w:rPr>
              <w:t>项目建设期中和通车运营后出现严重质量问题造成恶劣影响的</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b w:val="0"/>
                <w:bCs/>
                <w:color w:val="auto"/>
                <w:sz w:val="22"/>
                <w:szCs w:val="22"/>
              </w:rPr>
            </w:pPr>
            <w:r>
              <w:rPr>
                <w:rFonts w:hint="eastAsia" w:ascii="仿宋_GB2312" w:hAnsi="宋体" w:eastAsia="仿宋_GB2312" w:cs="仿宋_GB2312"/>
                <w:b w:val="0"/>
                <w:bCs/>
                <w:color w:val="auto"/>
                <w:kern w:val="0"/>
                <w:sz w:val="22"/>
                <w:szCs w:val="22"/>
              </w:rPr>
              <w:t>直接定为D级</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center"/>
              <w:rPr>
                <w:rFonts w:hint="eastAsia" w:ascii="仿宋_GB2312" w:hAnsi="宋体" w:eastAsia="仿宋_GB2312" w:cs="仿宋_GB2312"/>
                <w:b w:val="0"/>
                <w:bCs/>
                <w:color w:val="auto"/>
                <w:sz w:val="22"/>
                <w:szCs w:val="22"/>
              </w:rPr>
            </w:pPr>
          </w:p>
        </w:tc>
      </w:tr>
      <w:tr>
        <w:tblPrEx>
          <w:tblLayout w:type="fixed"/>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b w:val="0"/>
                <w:bCs/>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b w:val="0"/>
                <w:bCs/>
                <w:color w:val="auto"/>
                <w:sz w:val="22"/>
                <w:szCs w:val="22"/>
              </w:rPr>
            </w:pPr>
            <w:r>
              <w:rPr>
                <w:rFonts w:hint="eastAsia" w:ascii="仿宋_GB2312" w:hAnsi="宋体" w:eastAsia="仿宋_GB2312" w:cs="仿宋_GB2312"/>
                <w:b w:val="0"/>
                <w:bCs/>
                <w:color w:val="auto"/>
                <w:kern w:val="0"/>
                <w:sz w:val="22"/>
                <w:szCs w:val="22"/>
              </w:rPr>
              <w:t>GLSG2-7-3</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b w:val="0"/>
                <w:bCs/>
                <w:color w:val="auto"/>
                <w:sz w:val="22"/>
                <w:szCs w:val="22"/>
              </w:rPr>
            </w:pPr>
            <w:r>
              <w:rPr>
                <w:rFonts w:hint="eastAsia" w:ascii="仿宋_GB2312" w:hAnsi="宋体" w:eastAsia="仿宋_GB2312" w:cs="仿宋_GB2312"/>
                <w:b w:val="0"/>
                <w:bCs/>
                <w:color w:val="auto"/>
                <w:kern w:val="0"/>
                <w:sz w:val="22"/>
                <w:szCs w:val="22"/>
              </w:rPr>
              <w:t>考核期内被项目法人（项目管理机构）全线通报批评</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b w:val="0"/>
                <w:bCs/>
                <w:color w:val="auto"/>
                <w:sz w:val="22"/>
                <w:szCs w:val="22"/>
              </w:rPr>
            </w:pPr>
            <w:r>
              <w:rPr>
                <w:rFonts w:hint="eastAsia" w:ascii="仿宋_GB2312" w:hAnsi="宋体" w:eastAsia="仿宋_GB2312" w:cs="仿宋_GB2312"/>
                <w:b w:val="0"/>
                <w:bCs/>
                <w:color w:val="auto"/>
                <w:kern w:val="0"/>
                <w:sz w:val="22"/>
                <w:szCs w:val="22"/>
              </w:rPr>
              <w:t>5分/次</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center"/>
              <w:rPr>
                <w:rFonts w:hint="eastAsia" w:ascii="仿宋_GB2312" w:hAnsi="宋体" w:eastAsia="仿宋_GB2312" w:cs="仿宋_GB2312"/>
                <w:b w:val="0"/>
                <w:bCs/>
                <w:color w:val="auto"/>
                <w:sz w:val="22"/>
                <w:szCs w:val="22"/>
              </w:rPr>
            </w:pPr>
          </w:p>
        </w:tc>
      </w:tr>
      <w:tr>
        <w:tblPrEx>
          <w:tblLayout w:type="fixed"/>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b w:val="0"/>
                <w:bCs/>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b w:val="0"/>
                <w:bCs/>
                <w:color w:val="auto"/>
                <w:sz w:val="22"/>
                <w:szCs w:val="22"/>
              </w:rPr>
            </w:pPr>
            <w:r>
              <w:rPr>
                <w:rFonts w:hint="eastAsia" w:ascii="仿宋_GB2312" w:hAnsi="宋体" w:eastAsia="仿宋_GB2312" w:cs="仿宋_GB2312"/>
                <w:b w:val="0"/>
                <w:bCs/>
                <w:color w:val="auto"/>
                <w:kern w:val="0"/>
                <w:sz w:val="22"/>
                <w:szCs w:val="22"/>
              </w:rPr>
              <w:t>GLSG2-7-4</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b w:val="0"/>
                <w:bCs/>
                <w:color w:val="auto"/>
                <w:sz w:val="22"/>
                <w:szCs w:val="22"/>
              </w:rPr>
            </w:pPr>
            <w:r>
              <w:rPr>
                <w:rFonts w:hint="eastAsia" w:ascii="仿宋_GB2312" w:hAnsi="宋体" w:eastAsia="仿宋_GB2312" w:cs="仿宋_GB2312"/>
                <w:b w:val="0"/>
                <w:bCs/>
                <w:color w:val="auto"/>
                <w:kern w:val="0"/>
                <w:sz w:val="22"/>
                <w:szCs w:val="22"/>
              </w:rPr>
              <w:t>交工验收后1年内不及时提交工程结算、竣工资料</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b w:val="0"/>
                <w:bCs/>
                <w:color w:val="auto"/>
                <w:sz w:val="22"/>
                <w:szCs w:val="22"/>
              </w:rPr>
            </w:pPr>
            <w:r>
              <w:rPr>
                <w:rFonts w:hint="eastAsia" w:ascii="仿宋_GB2312" w:hAnsi="宋体" w:eastAsia="仿宋_GB2312" w:cs="仿宋_GB2312"/>
                <w:b w:val="0"/>
                <w:bCs/>
                <w:color w:val="auto"/>
                <w:kern w:val="0"/>
                <w:sz w:val="22"/>
                <w:szCs w:val="22"/>
              </w:rPr>
              <w:t>5分/次</w:t>
            </w:r>
          </w:p>
        </w:tc>
        <w:tc>
          <w:tcPr>
            <w:tcW w:w="1677"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仿宋_GB2312" w:hAnsi="宋体" w:eastAsia="仿宋_GB2312" w:cs="仿宋_GB2312"/>
                <w:b w:val="0"/>
                <w:bCs/>
                <w:color w:val="auto"/>
                <w:sz w:val="22"/>
                <w:szCs w:val="22"/>
              </w:rPr>
            </w:pPr>
            <w:r>
              <w:rPr>
                <w:rFonts w:hint="eastAsia" w:ascii="仿宋_GB2312" w:hAnsi="宋体" w:eastAsia="仿宋_GB2312" w:cs="仿宋_GB2312"/>
                <w:b w:val="0"/>
                <w:bCs/>
                <w:color w:val="auto"/>
                <w:kern w:val="0"/>
                <w:sz w:val="22"/>
                <w:szCs w:val="22"/>
              </w:rPr>
              <w:t>施工单位原因</w:t>
            </w:r>
          </w:p>
        </w:tc>
      </w:tr>
      <w:tr>
        <w:tblPrEx>
          <w:tblLayout w:type="fixed"/>
          <w:tblCellMar>
            <w:top w:w="15" w:type="dxa"/>
            <w:left w:w="15" w:type="dxa"/>
            <w:bottom w:w="15" w:type="dxa"/>
            <w:right w:w="15" w:type="dxa"/>
          </w:tblCellMar>
        </w:tblPrEx>
        <w:trPr>
          <w:trHeight w:val="45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b w:val="0"/>
                <w:bCs/>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b w:val="0"/>
                <w:bCs/>
                <w:color w:val="auto"/>
                <w:sz w:val="22"/>
                <w:szCs w:val="22"/>
              </w:rPr>
            </w:pPr>
            <w:r>
              <w:rPr>
                <w:rFonts w:hint="eastAsia" w:ascii="仿宋_GB2312" w:hAnsi="宋体" w:eastAsia="仿宋_GB2312" w:cs="仿宋_GB2312"/>
                <w:b w:val="0"/>
                <w:bCs/>
                <w:color w:val="auto"/>
                <w:kern w:val="0"/>
                <w:sz w:val="22"/>
                <w:szCs w:val="22"/>
              </w:rPr>
              <w:t>GLSG2-7-5</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b w:val="0"/>
                <w:bCs/>
                <w:color w:val="auto"/>
                <w:sz w:val="22"/>
                <w:szCs w:val="22"/>
              </w:rPr>
            </w:pPr>
            <w:r>
              <w:rPr>
                <w:rFonts w:hint="eastAsia" w:ascii="仿宋_GB2312" w:hAnsi="宋体" w:eastAsia="仿宋_GB2312" w:cs="仿宋_GB2312"/>
                <w:b w:val="0"/>
                <w:bCs/>
                <w:color w:val="auto"/>
                <w:kern w:val="0"/>
                <w:sz w:val="22"/>
                <w:szCs w:val="22"/>
              </w:rPr>
              <w:t>缺陷责任期内出现质量问题不能及时修复</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b w:val="0"/>
                <w:bCs/>
                <w:color w:val="auto"/>
                <w:sz w:val="22"/>
                <w:szCs w:val="22"/>
              </w:rPr>
            </w:pPr>
            <w:r>
              <w:rPr>
                <w:rFonts w:hint="eastAsia" w:ascii="仿宋_GB2312" w:hAnsi="宋体" w:eastAsia="仿宋_GB2312" w:cs="仿宋_GB2312"/>
                <w:b w:val="0"/>
                <w:bCs/>
                <w:color w:val="auto"/>
                <w:kern w:val="0"/>
                <w:sz w:val="22"/>
                <w:szCs w:val="22"/>
              </w:rPr>
              <w:t>5分/次</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center"/>
              <w:rPr>
                <w:rFonts w:hint="eastAsia" w:ascii="仿宋_GB2312" w:hAnsi="宋体" w:eastAsia="仿宋_GB2312" w:cs="仿宋_GB2312"/>
                <w:b w:val="0"/>
                <w:bCs/>
                <w:color w:val="auto"/>
                <w:sz w:val="22"/>
                <w:szCs w:val="22"/>
              </w:rPr>
            </w:pPr>
          </w:p>
        </w:tc>
      </w:tr>
      <w:tr>
        <w:tblPrEx>
          <w:tblLayout w:type="fixed"/>
          <w:tblCellMar>
            <w:top w:w="15" w:type="dxa"/>
            <w:left w:w="15" w:type="dxa"/>
            <w:bottom w:w="15" w:type="dxa"/>
            <w:right w:w="15" w:type="dxa"/>
          </w:tblCellMar>
        </w:tblPrEx>
        <w:trPr>
          <w:trHeight w:val="69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b w:val="0"/>
                <w:bCs/>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b w:val="0"/>
                <w:bCs/>
                <w:color w:val="auto"/>
                <w:sz w:val="22"/>
                <w:szCs w:val="22"/>
              </w:rPr>
            </w:pPr>
            <w:r>
              <w:rPr>
                <w:rFonts w:hint="eastAsia" w:ascii="仿宋_GB2312" w:hAnsi="宋体" w:eastAsia="仿宋_GB2312" w:cs="仿宋_GB2312"/>
                <w:b w:val="0"/>
                <w:bCs/>
                <w:color w:val="auto"/>
                <w:kern w:val="0"/>
                <w:sz w:val="22"/>
                <w:szCs w:val="22"/>
              </w:rPr>
              <w:t>GLSG2-7-6</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b w:val="0"/>
                <w:bCs/>
                <w:color w:val="auto"/>
                <w:sz w:val="22"/>
                <w:szCs w:val="22"/>
              </w:rPr>
            </w:pPr>
            <w:r>
              <w:rPr>
                <w:rFonts w:hint="eastAsia" w:ascii="仿宋_GB2312" w:hAnsi="宋体" w:eastAsia="仿宋_GB2312" w:cs="仿宋_GB2312"/>
                <w:b w:val="0"/>
                <w:bCs/>
                <w:color w:val="auto"/>
                <w:kern w:val="0"/>
                <w:sz w:val="22"/>
                <w:szCs w:val="22"/>
              </w:rPr>
              <w:t>因施工单位原因被项目法人发函要求其上级单位督办，不能解决问题的</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b w:val="0"/>
                <w:bCs/>
                <w:color w:val="auto"/>
                <w:sz w:val="22"/>
                <w:szCs w:val="22"/>
              </w:rPr>
            </w:pPr>
            <w:r>
              <w:rPr>
                <w:rFonts w:hint="eastAsia" w:ascii="仿宋_GB2312" w:hAnsi="宋体" w:eastAsia="仿宋_GB2312" w:cs="仿宋_GB2312"/>
                <w:b w:val="0"/>
                <w:bCs/>
                <w:color w:val="auto"/>
                <w:kern w:val="0"/>
                <w:sz w:val="22"/>
                <w:szCs w:val="22"/>
              </w:rPr>
              <w:t>5分/次</w:t>
            </w:r>
          </w:p>
        </w:tc>
        <w:tc>
          <w:tcPr>
            <w:tcW w:w="1677" w:type="dxa"/>
            <w:tcBorders>
              <w:top w:val="single" w:color="000000" w:sz="4" w:space="0"/>
              <w:left w:val="single" w:color="000000" w:sz="4" w:space="0"/>
              <w:bottom w:val="single" w:color="000000" w:sz="4" w:space="0"/>
              <w:right w:val="single" w:color="000000" w:sz="12" w:space="0"/>
            </w:tcBorders>
            <w:vAlign w:val="center"/>
          </w:tcPr>
          <w:p>
            <w:pPr>
              <w:jc w:val="center"/>
              <w:rPr>
                <w:rFonts w:hint="eastAsia" w:ascii="仿宋_GB2312" w:hAnsi="宋体" w:eastAsia="仿宋_GB2312" w:cs="仿宋_GB2312"/>
                <w:b w:val="0"/>
                <w:bCs/>
                <w:color w:val="auto"/>
                <w:sz w:val="22"/>
                <w:szCs w:val="22"/>
              </w:rPr>
            </w:pPr>
          </w:p>
        </w:tc>
      </w:tr>
      <w:tr>
        <w:tblPrEx>
          <w:tblLayout w:type="fixed"/>
          <w:tblCellMar>
            <w:top w:w="15" w:type="dxa"/>
            <w:left w:w="15" w:type="dxa"/>
            <w:bottom w:w="15" w:type="dxa"/>
            <w:right w:w="15" w:type="dxa"/>
          </w:tblCellMar>
        </w:tblPrEx>
        <w:trPr>
          <w:trHeight w:val="900" w:hRule="atLeast"/>
        </w:trPr>
        <w:tc>
          <w:tcPr>
            <w:tcW w:w="126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b w:val="0"/>
                <w:bCs/>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b w:val="0"/>
                <w:bCs/>
                <w:color w:val="auto"/>
                <w:sz w:val="22"/>
                <w:szCs w:val="22"/>
              </w:rPr>
            </w:pPr>
            <w:r>
              <w:rPr>
                <w:rFonts w:hint="eastAsia" w:ascii="仿宋_GB2312" w:hAnsi="宋体" w:eastAsia="仿宋_GB2312" w:cs="仿宋_GB2312"/>
                <w:b w:val="0"/>
                <w:bCs/>
                <w:color w:val="auto"/>
                <w:kern w:val="0"/>
                <w:sz w:val="22"/>
                <w:szCs w:val="22"/>
              </w:rPr>
              <w:t>GLSG2-7-7</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b w:val="0"/>
                <w:bCs/>
                <w:color w:val="auto"/>
                <w:sz w:val="22"/>
                <w:szCs w:val="22"/>
              </w:rPr>
            </w:pPr>
            <w:r>
              <w:rPr>
                <w:rFonts w:hint="eastAsia" w:ascii="仿宋_GB2312" w:hAnsi="宋体" w:eastAsia="仿宋_GB2312" w:cs="仿宋_GB2312"/>
                <w:b w:val="0"/>
                <w:bCs/>
                <w:color w:val="auto"/>
                <w:kern w:val="0"/>
                <w:sz w:val="22"/>
                <w:szCs w:val="22"/>
              </w:rPr>
              <w:t>其他被认为失信的履约行为</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b w:val="0"/>
                <w:bCs/>
                <w:color w:val="auto"/>
                <w:sz w:val="22"/>
                <w:szCs w:val="22"/>
              </w:rPr>
            </w:pPr>
            <w:r>
              <w:rPr>
                <w:rFonts w:hint="eastAsia" w:ascii="仿宋_GB2312" w:hAnsi="宋体" w:eastAsia="仿宋_GB2312" w:cs="仿宋_GB2312"/>
                <w:b w:val="0"/>
                <w:bCs/>
                <w:color w:val="auto"/>
                <w:kern w:val="0"/>
                <w:sz w:val="22"/>
                <w:szCs w:val="22"/>
              </w:rPr>
              <w:t>1—10分</w:t>
            </w:r>
          </w:p>
        </w:tc>
        <w:tc>
          <w:tcPr>
            <w:tcW w:w="1677"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仿宋_GB2312" w:hAnsi="宋体" w:eastAsia="仿宋_GB2312" w:cs="仿宋_GB2312"/>
                <w:b w:val="0"/>
                <w:bCs/>
                <w:color w:val="auto"/>
                <w:sz w:val="22"/>
                <w:szCs w:val="22"/>
              </w:rPr>
            </w:pPr>
            <w:r>
              <w:rPr>
                <w:rFonts w:hint="eastAsia" w:ascii="仿宋_GB2312" w:hAnsi="宋体" w:eastAsia="仿宋_GB2312" w:cs="仿宋_GB2312"/>
                <w:b w:val="0"/>
                <w:bCs/>
                <w:color w:val="auto"/>
                <w:kern w:val="0"/>
                <w:sz w:val="22"/>
                <w:szCs w:val="22"/>
              </w:rPr>
              <w:t>省交通运输厅在实施期间可根据实际情况再进一步细化</w:t>
            </w:r>
          </w:p>
        </w:tc>
      </w:tr>
      <w:tr>
        <w:tblPrEx>
          <w:tblLayout w:type="fixed"/>
          <w:tblCellMar>
            <w:top w:w="15" w:type="dxa"/>
            <w:left w:w="15" w:type="dxa"/>
            <w:bottom w:w="15" w:type="dxa"/>
            <w:right w:w="15" w:type="dxa"/>
          </w:tblCellMar>
        </w:tblPrEx>
        <w:trPr>
          <w:trHeight w:val="900" w:hRule="atLeast"/>
        </w:trPr>
        <w:tc>
          <w:tcPr>
            <w:tcW w:w="1260" w:type="dxa"/>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restart"/>
            <w:tcBorders>
              <w:top w:val="single" w:color="000000" w:sz="4" w:space="0"/>
              <w:left w:val="single" w:color="000000" w:sz="4" w:space="0"/>
              <w:right w:val="single" w:color="000000" w:sz="4" w:space="0"/>
            </w:tcBorders>
            <w:vAlign w:val="center"/>
          </w:tcPr>
          <w:p>
            <w:pPr>
              <w:jc w:val="center"/>
              <w:rPr>
                <w:rFonts w:hint="eastAsia" w:ascii="仿宋_GB2312" w:hAnsi="宋体" w:eastAsia="仿宋_GB2312" w:cs="仿宋_GB2312"/>
                <w:b/>
                <w:color w:val="auto"/>
                <w:sz w:val="22"/>
                <w:szCs w:val="22"/>
              </w:rPr>
            </w:pPr>
            <w:r>
              <w:rPr>
                <w:rFonts w:hint="eastAsia" w:ascii="仿宋_GB2312" w:hAnsi="宋体" w:eastAsia="仿宋_GB2312" w:cs="仿宋_GB2312"/>
                <w:b w:val="0"/>
                <w:bCs/>
                <w:color w:val="auto"/>
                <w:kern w:val="0"/>
                <w:sz w:val="22"/>
                <w:szCs w:val="22"/>
              </w:rPr>
              <w:t>省交通运输厅增加的其他被认为失信的履约行为</w:t>
            </w:r>
            <w:r>
              <w:rPr>
                <w:rFonts w:hint="eastAsia" w:ascii="仿宋_GB2312" w:hAnsi="宋体" w:eastAsia="仿宋_GB2312" w:cs="仿宋_GB2312"/>
                <w:b/>
                <w:color w:val="auto"/>
                <w:sz w:val="22"/>
                <w:szCs w:val="22"/>
              </w:rPr>
              <w:t xml:space="preserve"> </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b/>
                <w:color w:val="auto"/>
                <w:kern w:val="0"/>
                <w:sz w:val="22"/>
                <w:szCs w:val="22"/>
              </w:rPr>
            </w:pPr>
            <w:r>
              <w:rPr>
                <w:rFonts w:hint="eastAsia" w:ascii="仿宋_GB2312" w:hAnsi="宋体" w:eastAsia="仿宋_GB2312" w:cs="仿宋_GB2312"/>
                <w:b/>
                <w:color w:val="auto"/>
                <w:sz w:val="22"/>
                <w:szCs w:val="22"/>
              </w:rPr>
              <w:t>GLSG2-7-8</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b/>
                <w:color w:val="auto"/>
                <w:kern w:val="0"/>
                <w:sz w:val="22"/>
                <w:szCs w:val="22"/>
              </w:rPr>
            </w:pPr>
            <w:r>
              <w:rPr>
                <w:rFonts w:hint="eastAsia" w:ascii="仿宋_GB2312" w:hAnsi="宋体" w:eastAsia="仿宋_GB2312" w:cs="仿宋_GB2312"/>
                <w:b/>
                <w:color w:val="auto"/>
                <w:sz w:val="22"/>
                <w:szCs w:val="22"/>
              </w:rPr>
              <w:t>未按要求建设标准化工地，包括预制场地、拌和场地、施工料场、施工便道等</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b/>
                <w:color w:val="auto"/>
                <w:kern w:val="0"/>
                <w:sz w:val="22"/>
                <w:szCs w:val="22"/>
              </w:rPr>
            </w:pPr>
            <w:r>
              <w:rPr>
                <w:rFonts w:hint="eastAsia" w:ascii="仿宋_GB2312" w:hAnsi="宋体" w:eastAsia="仿宋_GB2312" w:cs="仿宋_GB2312"/>
                <w:b/>
                <w:color w:val="auto"/>
                <w:sz w:val="22"/>
                <w:szCs w:val="22"/>
              </w:rPr>
              <w:t>1分/项</w:t>
            </w:r>
          </w:p>
        </w:tc>
        <w:tc>
          <w:tcPr>
            <w:tcW w:w="1677"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仿宋_GB2312" w:hAnsi="宋体" w:eastAsia="仿宋_GB2312" w:cs="仿宋_GB2312"/>
                <w:b/>
                <w:color w:val="auto"/>
                <w:kern w:val="0"/>
                <w:sz w:val="22"/>
                <w:szCs w:val="22"/>
              </w:rPr>
            </w:pPr>
            <w:r>
              <w:rPr>
                <w:rFonts w:hint="eastAsia" w:ascii="仿宋_GB2312" w:hAnsi="宋体" w:eastAsia="仿宋_GB2312" w:cs="仿宋_GB2312"/>
                <w:b/>
                <w:color w:val="auto"/>
                <w:kern w:val="0"/>
                <w:sz w:val="22"/>
                <w:szCs w:val="22"/>
              </w:rPr>
              <w:t>包括标准化工地验收不合格</w:t>
            </w:r>
          </w:p>
        </w:tc>
      </w:tr>
      <w:tr>
        <w:tblPrEx>
          <w:tblLayout w:type="fixed"/>
          <w:tblCellMar>
            <w:top w:w="15" w:type="dxa"/>
            <w:left w:w="15" w:type="dxa"/>
            <w:bottom w:w="15" w:type="dxa"/>
            <w:right w:w="15" w:type="dxa"/>
          </w:tblCellMar>
        </w:tblPrEx>
        <w:trPr>
          <w:trHeight w:val="900" w:hRule="atLeast"/>
        </w:trPr>
        <w:tc>
          <w:tcPr>
            <w:tcW w:w="1260" w:type="dxa"/>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left w:val="single" w:color="000000" w:sz="4" w:space="0"/>
              <w:right w:val="single" w:color="000000" w:sz="4" w:space="0"/>
            </w:tcBorders>
            <w:vAlign w:val="center"/>
          </w:tcPr>
          <w:p>
            <w:pPr>
              <w:jc w:val="center"/>
              <w:rPr>
                <w:rFonts w:hint="eastAsia" w:ascii="仿宋_GB2312" w:hAnsi="宋体" w:eastAsia="仿宋_GB2312" w:cs="仿宋_GB2312"/>
                <w:b/>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b/>
                <w:color w:val="auto"/>
                <w:kern w:val="0"/>
                <w:sz w:val="22"/>
                <w:szCs w:val="22"/>
              </w:rPr>
            </w:pPr>
            <w:r>
              <w:rPr>
                <w:rFonts w:hint="eastAsia" w:ascii="仿宋_GB2312" w:hAnsi="宋体" w:eastAsia="仿宋_GB2312" w:cs="仿宋_GB2312"/>
                <w:b/>
                <w:color w:val="auto"/>
                <w:sz w:val="22"/>
                <w:szCs w:val="22"/>
              </w:rPr>
              <w:t>GLSG2-7-9</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b/>
                <w:color w:val="auto"/>
                <w:kern w:val="0"/>
                <w:sz w:val="22"/>
                <w:szCs w:val="22"/>
              </w:rPr>
            </w:pPr>
            <w:r>
              <w:rPr>
                <w:rFonts w:hint="eastAsia" w:ascii="仿宋_GB2312" w:hAnsi="宋体" w:eastAsia="仿宋_GB2312" w:cs="仿宋_GB2312"/>
                <w:b/>
                <w:color w:val="auto"/>
                <w:sz w:val="22"/>
                <w:szCs w:val="22"/>
              </w:rPr>
              <w:t>原材料、工程实体质量抽检未按规定执行，自检频率不符合要求</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b/>
                <w:color w:val="auto"/>
                <w:kern w:val="0"/>
                <w:sz w:val="22"/>
                <w:szCs w:val="22"/>
              </w:rPr>
            </w:pPr>
            <w:r>
              <w:rPr>
                <w:rFonts w:hint="eastAsia" w:ascii="仿宋_GB2312" w:hAnsi="宋体" w:eastAsia="仿宋_GB2312" w:cs="仿宋_GB2312"/>
                <w:b/>
                <w:color w:val="auto"/>
                <w:sz w:val="22"/>
                <w:szCs w:val="22"/>
              </w:rPr>
              <w:t>2分/次</w:t>
            </w:r>
          </w:p>
        </w:tc>
        <w:tc>
          <w:tcPr>
            <w:tcW w:w="1677"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仿宋_GB2312" w:hAnsi="宋体" w:eastAsia="仿宋_GB2312" w:cs="仿宋_GB2312"/>
                <w:b/>
                <w:color w:val="auto"/>
                <w:kern w:val="0"/>
                <w:sz w:val="22"/>
                <w:szCs w:val="22"/>
              </w:rPr>
            </w:pPr>
          </w:p>
        </w:tc>
      </w:tr>
      <w:tr>
        <w:tblPrEx>
          <w:tblLayout w:type="fixed"/>
          <w:tblCellMar>
            <w:top w:w="15" w:type="dxa"/>
            <w:left w:w="15" w:type="dxa"/>
            <w:bottom w:w="15" w:type="dxa"/>
            <w:right w:w="15" w:type="dxa"/>
          </w:tblCellMar>
        </w:tblPrEx>
        <w:trPr>
          <w:trHeight w:val="900" w:hRule="atLeast"/>
        </w:trPr>
        <w:tc>
          <w:tcPr>
            <w:tcW w:w="1260" w:type="dxa"/>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left w:val="single" w:color="000000" w:sz="4" w:space="0"/>
              <w:right w:val="single" w:color="000000" w:sz="4" w:space="0"/>
            </w:tcBorders>
            <w:vAlign w:val="center"/>
          </w:tcPr>
          <w:p>
            <w:pPr>
              <w:jc w:val="center"/>
              <w:rPr>
                <w:rFonts w:hint="eastAsia" w:ascii="仿宋_GB2312" w:hAnsi="宋体" w:eastAsia="仿宋_GB2312" w:cs="仿宋_GB2312"/>
                <w:b/>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b/>
                <w:color w:val="auto"/>
                <w:kern w:val="0"/>
                <w:sz w:val="22"/>
                <w:szCs w:val="22"/>
              </w:rPr>
            </w:pPr>
            <w:r>
              <w:rPr>
                <w:rFonts w:hint="eastAsia" w:ascii="仿宋_GB2312" w:hAnsi="宋体" w:eastAsia="仿宋_GB2312" w:cs="仿宋_GB2312"/>
                <w:b/>
                <w:color w:val="auto"/>
                <w:sz w:val="22"/>
                <w:szCs w:val="22"/>
              </w:rPr>
              <w:t>GLSG2-7-10</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b/>
                <w:color w:val="auto"/>
                <w:kern w:val="0"/>
                <w:sz w:val="22"/>
                <w:szCs w:val="22"/>
              </w:rPr>
            </w:pPr>
            <w:r>
              <w:rPr>
                <w:rFonts w:hint="eastAsia" w:ascii="仿宋_GB2312" w:hAnsi="宋体" w:eastAsia="仿宋_GB2312" w:cs="仿宋_GB2312"/>
                <w:b/>
                <w:color w:val="auto"/>
                <w:sz w:val="22"/>
                <w:szCs w:val="22"/>
              </w:rPr>
              <w:t>委托不符合</w:t>
            </w:r>
            <w:r>
              <w:rPr>
                <w:rFonts w:hint="eastAsia" w:ascii="仿宋_GB2312" w:hAnsi="宋体" w:eastAsia="仿宋_GB2312" w:cs="仿宋_GB2312"/>
                <w:b/>
                <w:color w:val="auto"/>
                <w:sz w:val="22"/>
                <w:szCs w:val="22"/>
                <w:lang w:val="en-US" w:eastAsia="zh-CN"/>
              </w:rPr>
              <w:t>资质</w:t>
            </w:r>
            <w:r>
              <w:rPr>
                <w:rFonts w:hint="eastAsia" w:ascii="仿宋_GB2312" w:hAnsi="宋体" w:eastAsia="仿宋_GB2312" w:cs="仿宋_GB2312"/>
                <w:b/>
                <w:color w:val="auto"/>
                <w:sz w:val="22"/>
                <w:szCs w:val="22"/>
              </w:rPr>
              <w:t>要求的机构进行试验检测</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b/>
                <w:color w:val="auto"/>
                <w:kern w:val="0"/>
                <w:sz w:val="22"/>
                <w:szCs w:val="22"/>
              </w:rPr>
            </w:pPr>
            <w:r>
              <w:rPr>
                <w:rFonts w:hint="eastAsia" w:ascii="仿宋_GB2312" w:hAnsi="宋体" w:eastAsia="仿宋_GB2312" w:cs="仿宋_GB2312"/>
                <w:b/>
                <w:color w:val="auto"/>
                <w:sz w:val="22"/>
                <w:szCs w:val="22"/>
              </w:rPr>
              <w:t>3分/次</w:t>
            </w:r>
          </w:p>
        </w:tc>
        <w:tc>
          <w:tcPr>
            <w:tcW w:w="1677"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仿宋_GB2312" w:hAnsi="宋体" w:eastAsia="仿宋_GB2312" w:cs="仿宋_GB2312"/>
                <w:b/>
                <w:color w:val="auto"/>
                <w:kern w:val="0"/>
                <w:sz w:val="22"/>
                <w:szCs w:val="22"/>
              </w:rPr>
            </w:pPr>
          </w:p>
        </w:tc>
      </w:tr>
      <w:tr>
        <w:tblPrEx>
          <w:tblLayout w:type="fixed"/>
          <w:tblCellMar>
            <w:top w:w="15" w:type="dxa"/>
            <w:left w:w="15" w:type="dxa"/>
            <w:bottom w:w="15" w:type="dxa"/>
            <w:right w:w="15" w:type="dxa"/>
          </w:tblCellMar>
        </w:tblPrEx>
        <w:trPr>
          <w:trHeight w:val="900" w:hRule="atLeast"/>
        </w:trPr>
        <w:tc>
          <w:tcPr>
            <w:tcW w:w="1260" w:type="dxa"/>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left w:val="single" w:color="000000" w:sz="4" w:space="0"/>
              <w:right w:val="single" w:color="000000" w:sz="4" w:space="0"/>
            </w:tcBorders>
            <w:vAlign w:val="center"/>
          </w:tcPr>
          <w:p>
            <w:pPr>
              <w:jc w:val="center"/>
              <w:rPr>
                <w:rFonts w:hint="eastAsia" w:ascii="仿宋_GB2312" w:hAnsi="宋体" w:eastAsia="仿宋_GB2312" w:cs="仿宋_GB2312"/>
                <w:b/>
                <w:color w:val="auto"/>
                <w:sz w:val="22"/>
                <w:szCs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b/>
                <w:color w:val="auto"/>
                <w:kern w:val="0"/>
                <w:sz w:val="22"/>
                <w:szCs w:val="22"/>
              </w:rPr>
            </w:pPr>
            <w:r>
              <w:rPr>
                <w:rFonts w:hint="eastAsia" w:ascii="仿宋_GB2312" w:hAnsi="宋体" w:eastAsia="仿宋_GB2312" w:cs="仿宋_GB2312"/>
                <w:b/>
                <w:color w:val="auto"/>
                <w:sz w:val="22"/>
                <w:szCs w:val="22"/>
              </w:rPr>
              <w:t>GLSG2-7-1</w:t>
            </w:r>
            <w:r>
              <w:rPr>
                <w:rFonts w:hint="eastAsia" w:ascii="仿宋_GB2312" w:hAnsi="宋体" w:eastAsia="仿宋_GB2312" w:cs="仿宋_GB2312"/>
                <w:b/>
                <w:color w:val="auto"/>
                <w:sz w:val="22"/>
                <w:szCs w:val="22"/>
                <w:lang w:val="en-US" w:eastAsia="zh-CN"/>
              </w:rPr>
              <w:t>1</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b/>
                <w:color w:val="auto"/>
                <w:kern w:val="0"/>
                <w:sz w:val="22"/>
                <w:szCs w:val="22"/>
              </w:rPr>
            </w:pPr>
            <w:r>
              <w:rPr>
                <w:rFonts w:hint="eastAsia" w:ascii="仿宋_GB2312" w:hAnsi="宋体" w:eastAsia="仿宋_GB2312" w:cs="仿宋_GB2312"/>
                <w:b/>
                <w:color w:val="auto"/>
                <w:sz w:val="22"/>
                <w:szCs w:val="22"/>
              </w:rPr>
              <w:t>平安工地建设工作不达标</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b/>
                <w:color w:val="auto"/>
                <w:kern w:val="0"/>
                <w:sz w:val="22"/>
                <w:szCs w:val="22"/>
              </w:rPr>
            </w:pPr>
            <w:r>
              <w:rPr>
                <w:rFonts w:hint="eastAsia" w:ascii="仿宋_GB2312" w:hAnsi="宋体" w:eastAsia="仿宋_GB2312" w:cs="仿宋_GB2312"/>
                <w:b/>
                <w:color w:val="auto"/>
                <w:sz w:val="22"/>
                <w:szCs w:val="22"/>
              </w:rPr>
              <w:t>1-10分</w:t>
            </w:r>
          </w:p>
        </w:tc>
        <w:tc>
          <w:tcPr>
            <w:tcW w:w="1677"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仿宋_GB2312" w:hAnsi="宋体" w:eastAsia="仿宋_GB2312" w:cs="仿宋_GB2312"/>
                <w:b/>
                <w:color w:val="auto"/>
                <w:kern w:val="0"/>
                <w:sz w:val="22"/>
                <w:szCs w:val="22"/>
              </w:rPr>
            </w:pPr>
            <w:r>
              <w:rPr>
                <w:rFonts w:hint="eastAsia" w:ascii="仿宋_GB2312" w:hAnsi="宋体" w:eastAsia="仿宋_GB2312" w:cs="仿宋_GB2312"/>
                <w:b/>
                <w:color w:val="auto"/>
                <w:kern w:val="0"/>
                <w:sz w:val="22"/>
                <w:szCs w:val="22"/>
              </w:rPr>
              <w:t>项目建设单位按照日常管理情况酌情扣分</w:t>
            </w:r>
          </w:p>
        </w:tc>
      </w:tr>
      <w:tr>
        <w:tblPrEx>
          <w:tblLayout w:type="fixed"/>
          <w:tblCellMar>
            <w:top w:w="15" w:type="dxa"/>
            <w:left w:w="15" w:type="dxa"/>
            <w:bottom w:w="15" w:type="dxa"/>
            <w:right w:w="15" w:type="dxa"/>
          </w:tblCellMar>
        </w:tblPrEx>
        <w:trPr>
          <w:trHeight w:val="900" w:hRule="atLeast"/>
        </w:trPr>
        <w:tc>
          <w:tcPr>
            <w:tcW w:w="1260" w:type="dxa"/>
            <w:tcBorders>
              <w:top w:val="single" w:color="000000" w:sz="4" w:space="0"/>
              <w:left w:val="single" w:color="000000" w:sz="12" w:space="0"/>
              <w:bottom w:val="single" w:color="auto" w:sz="4" w:space="0"/>
              <w:right w:val="single" w:color="000000"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left w:val="single" w:color="000000" w:sz="4" w:space="0"/>
              <w:bottom w:val="single" w:color="auto" w:sz="4" w:space="0"/>
              <w:right w:val="single" w:color="000000" w:sz="4" w:space="0"/>
            </w:tcBorders>
            <w:vAlign w:val="center"/>
          </w:tcPr>
          <w:p>
            <w:pPr>
              <w:jc w:val="center"/>
              <w:rPr>
                <w:rFonts w:hint="eastAsia" w:ascii="仿宋_GB2312" w:hAnsi="宋体" w:eastAsia="仿宋_GB2312" w:cs="仿宋_GB2312"/>
                <w:b/>
                <w:color w:val="auto"/>
                <w:sz w:val="22"/>
                <w:szCs w:val="22"/>
              </w:rPr>
            </w:pPr>
          </w:p>
        </w:tc>
        <w:tc>
          <w:tcPr>
            <w:tcW w:w="162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_GB2312" w:hAnsi="宋体" w:eastAsia="仿宋_GB2312" w:cs="仿宋_GB2312"/>
                <w:b/>
                <w:color w:val="auto"/>
                <w:kern w:val="0"/>
                <w:sz w:val="22"/>
                <w:szCs w:val="22"/>
              </w:rPr>
            </w:pPr>
            <w:r>
              <w:rPr>
                <w:rFonts w:hint="eastAsia" w:ascii="仿宋_GB2312" w:hAnsi="宋体" w:eastAsia="仿宋_GB2312" w:cs="仿宋_GB2312"/>
                <w:b/>
                <w:color w:val="auto"/>
                <w:sz w:val="22"/>
                <w:szCs w:val="22"/>
              </w:rPr>
              <w:t>GLSG2-7-1</w:t>
            </w:r>
            <w:r>
              <w:rPr>
                <w:rFonts w:hint="eastAsia" w:ascii="仿宋_GB2312" w:hAnsi="宋体" w:eastAsia="仿宋_GB2312" w:cs="仿宋_GB2312"/>
                <w:b/>
                <w:color w:val="auto"/>
                <w:sz w:val="22"/>
                <w:szCs w:val="22"/>
                <w:lang w:val="en-US" w:eastAsia="zh-CN"/>
              </w:rPr>
              <w:t>2</w:t>
            </w:r>
          </w:p>
        </w:tc>
        <w:tc>
          <w:tcPr>
            <w:tcW w:w="649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_GB2312" w:hAnsi="宋体" w:eastAsia="仿宋_GB2312" w:cs="仿宋_GB2312"/>
                <w:b/>
                <w:color w:val="auto"/>
                <w:sz w:val="22"/>
                <w:szCs w:val="22"/>
              </w:rPr>
            </w:pPr>
            <w:r>
              <w:rPr>
                <w:rFonts w:hint="eastAsia" w:ascii="仿宋_GB2312" w:hAnsi="宋体" w:eastAsia="仿宋_GB2312" w:cs="仿宋_GB2312"/>
                <w:b/>
                <w:color w:val="auto"/>
                <w:sz w:val="22"/>
                <w:szCs w:val="22"/>
              </w:rPr>
              <w:t>工程变更弄虚作假或虚假计量，</w:t>
            </w:r>
          </w:p>
          <w:p>
            <w:pPr>
              <w:widowControl/>
              <w:jc w:val="center"/>
              <w:textAlignment w:val="center"/>
              <w:rPr>
                <w:rFonts w:hint="eastAsia" w:ascii="仿宋_GB2312" w:hAnsi="宋体" w:eastAsia="仿宋_GB2312" w:cs="仿宋_GB2312"/>
                <w:b/>
                <w:color w:val="auto"/>
                <w:kern w:val="0"/>
                <w:sz w:val="22"/>
                <w:szCs w:val="22"/>
              </w:rPr>
            </w:pPr>
            <w:r>
              <w:rPr>
                <w:rFonts w:hint="eastAsia" w:ascii="仿宋_GB2312" w:hAnsi="宋体" w:eastAsia="仿宋_GB2312" w:cs="仿宋_GB2312"/>
                <w:b/>
                <w:color w:val="auto"/>
                <w:sz w:val="22"/>
                <w:szCs w:val="22"/>
              </w:rPr>
              <w:t>造成严重后果</w:t>
            </w:r>
          </w:p>
        </w:tc>
        <w:tc>
          <w:tcPr>
            <w:tcW w:w="168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_GB2312" w:hAnsi="宋体" w:eastAsia="仿宋_GB2312" w:cs="仿宋_GB2312"/>
                <w:b/>
                <w:color w:val="auto"/>
                <w:kern w:val="0"/>
                <w:sz w:val="22"/>
                <w:szCs w:val="22"/>
              </w:rPr>
            </w:pPr>
            <w:r>
              <w:rPr>
                <w:rFonts w:hint="eastAsia" w:ascii="仿宋_GB2312" w:hAnsi="宋体" w:eastAsia="仿宋_GB2312" w:cs="仿宋_GB2312"/>
                <w:b/>
                <w:color w:val="auto"/>
                <w:sz w:val="22"/>
                <w:szCs w:val="22"/>
              </w:rPr>
              <w:t>直接定为D级</w:t>
            </w:r>
          </w:p>
        </w:tc>
        <w:tc>
          <w:tcPr>
            <w:tcW w:w="1677" w:type="dxa"/>
            <w:tcBorders>
              <w:top w:val="single" w:color="000000" w:sz="4" w:space="0"/>
              <w:left w:val="single" w:color="000000" w:sz="4" w:space="0"/>
              <w:bottom w:val="single" w:color="auto" w:sz="4" w:space="0"/>
              <w:right w:val="single" w:color="000000" w:sz="12" w:space="0"/>
            </w:tcBorders>
            <w:vAlign w:val="center"/>
          </w:tcPr>
          <w:p>
            <w:pPr>
              <w:widowControl/>
              <w:jc w:val="center"/>
              <w:textAlignment w:val="center"/>
              <w:rPr>
                <w:rFonts w:hint="eastAsia" w:ascii="仿宋_GB2312" w:hAnsi="宋体" w:eastAsia="仿宋_GB2312" w:cs="仿宋_GB2312"/>
                <w:b/>
                <w:color w:val="auto"/>
                <w:kern w:val="0"/>
                <w:sz w:val="22"/>
                <w:szCs w:val="22"/>
              </w:rPr>
            </w:pPr>
          </w:p>
        </w:tc>
      </w:tr>
      <w:tr>
        <w:tblPrEx>
          <w:tblLayout w:type="fixed"/>
          <w:tblCellMar>
            <w:top w:w="15" w:type="dxa"/>
            <w:left w:w="15" w:type="dxa"/>
            <w:bottom w:w="15" w:type="dxa"/>
            <w:right w:w="15" w:type="dxa"/>
          </w:tblCellMar>
        </w:tblPrEx>
        <w:trPr>
          <w:trHeight w:val="450" w:hRule="atLeast"/>
        </w:trPr>
        <w:tc>
          <w:tcPr>
            <w:tcW w:w="12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其它行为（行为代码GLSG3）</w:t>
            </w:r>
          </w:p>
        </w:tc>
        <w:tc>
          <w:tcPr>
            <w:tcW w:w="13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GLSG3-1</w:t>
            </w:r>
          </w:p>
        </w:tc>
        <w:tc>
          <w:tcPr>
            <w:tcW w:w="64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被本省司法机关认定有行贿、受贿行为，并构成犯罪</w:t>
            </w:r>
          </w:p>
        </w:tc>
        <w:tc>
          <w:tcPr>
            <w:tcW w:w="16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直接定为D级</w:t>
            </w:r>
          </w:p>
        </w:tc>
        <w:tc>
          <w:tcPr>
            <w:tcW w:w="1677"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690" w:hRule="atLeast"/>
        </w:trPr>
        <w:tc>
          <w:tcPr>
            <w:tcW w:w="12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GLSG3-2</w:t>
            </w:r>
          </w:p>
        </w:tc>
        <w:tc>
          <w:tcPr>
            <w:tcW w:w="64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省级及以上交通运输主管部门要求企业填报向社会公布的信息，存在虚假的</w:t>
            </w:r>
          </w:p>
        </w:tc>
        <w:tc>
          <w:tcPr>
            <w:tcW w:w="16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3分/次(在企业总分中扣除)</w:t>
            </w:r>
          </w:p>
        </w:tc>
        <w:tc>
          <w:tcPr>
            <w:tcW w:w="1677"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690" w:hRule="atLeast"/>
        </w:trPr>
        <w:tc>
          <w:tcPr>
            <w:tcW w:w="12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GLSG3-3</w:t>
            </w:r>
          </w:p>
        </w:tc>
        <w:tc>
          <w:tcPr>
            <w:tcW w:w="64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信用评价弄虚作假或以不正当手段骗取较高信用等级</w:t>
            </w:r>
          </w:p>
        </w:tc>
        <w:tc>
          <w:tcPr>
            <w:tcW w:w="16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4分/次(在企业总分中扣除)</w:t>
            </w:r>
          </w:p>
        </w:tc>
        <w:tc>
          <w:tcPr>
            <w:tcW w:w="1677"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690" w:hRule="atLeast"/>
        </w:trPr>
        <w:tc>
          <w:tcPr>
            <w:tcW w:w="12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b/>
                <w:bCs/>
                <w:color w:val="auto"/>
                <w:sz w:val="22"/>
                <w:szCs w:val="22"/>
              </w:rPr>
            </w:pPr>
            <w:r>
              <w:rPr>
                <w:rFonts w:hint="eastAsia" w:ascii="仿宋_GB2312" w:hAnsi="宋体" w:eastAsia="仿宋_GB2312" w:cs="仿宋_GB2312"/>
                <w:b/>
                <w:bCs/>
                <w:color w:val="auto"/>
                <w:kern w:val="0"/>
                <w:sz w:val="22"/>
                <w:szCs w:val="22"/>
              </w:rPr>
              <w:t>GLSG3-4</w:t>
            </w:r>
          </w:p>
        </w:tc>
        <w:tc>
          <w:tcPr>
            <w:tcW w:w="64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宋体" w:eastAsia="仿宋_GB2312" w:cs="仿宋_GB2312"/>
                <w:b/>
                <w:bCs/>
                <w:color w:val="auto"/>
                <w:sz w:val="22"/>
                <w:szCs w:val="22"/>
              </w:rPr>
            </w:pPr>
            <w:r>
              <w:rPr>
                <w:rFonts w:hint="eastAsia" w:ascii="仿宋_GB2312" w:hAnsi="宋体" w:eastAsia="仿宋_GB2312" w:cs="仿宋_GB2312"/>
                <w:b/>
                <w:bCs/>
                <w:color w:val="auto"/>
                <w:kern w:val="0"/>
                <w:sz w:val="22"/>
                <w:szCs w:val="22"/>
              </w:rPr>
              <w:t>拖欠农民工工资被强制执行</w:t>
            </w:r>
          </w:p>
        </w:tc>
        <w:tc>
          <w:tcPr>
            <w:tcW w:w="16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b/>
                <w:bCs/>
                <w:color w:val="auto"/>
                <w:kern w:val="0"/>
                <w:sz w:val="22"/>
                <w:szCs w:val="22"/>
              </w:rPr>
              <w:t>5分/次(在企业总分中扣除)</w:t>
            </w:r>
          </w:p>
        </w:tc>
        <w:tc>
          <w:tcPr>
            <w:tcW w:w="1677"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690" w:hRule="atLeast"/>
        </w:trPr>
        <w:tc>
          <w:tcPr>
            <w:tcW w:w="12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GLSG3-5</w:t>
            </w:r>
          </w:p>
        </w:tc>
        <w:tc>
          <w:tcPr>
            <w:tcW w:w="64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拒绝参与交通运输主管部门组织的应急抢险任务</w:t>
            </w:r>
          </w:p>
        </w:tc>
        <w:tc>
          <w:tcPr>
            <w:tcW w:w="16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2分/次(在企业总分中扣除)</w:t>
            </w:r>
          </w:p>
        </w:tc>
        <w:tc>
          <w:tcPr>
            <w:tcW w:w="1677"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690" w:hRule="atLeast"/>
        </w:trPr>
        <w:tc>
          <w:tcPr>
            <w:tcW w:w="12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GLSG3-6</w:t>
            </w:r>
          </w:p>
        </w:tc>
        <w:tc>
          <w:tcPr>
            <w:tcW w:w="64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被市级交通运输主管部门通报批评</w:t>
            </w:r>
          </w:p>
        </w:tc>
        <w:tc>
          <w:tcPr>
            <w:tcW w:w="16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2分/次(在企业总分扣除)</w:t>
            </w:r>
          </w:p>
        </w:tc>
        <w:tc>
          <w:tcPr>
            <w:tcW w:w="1677"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690" w:hRule="atLeast"/>
        </w:trPr>
        <w:tc>
          <w:tcPr>
            <w:tcW w:w="12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GLSG3-7</w:t>
            </w:r>
          </w:p>
        </w:tc>
        <w:tc>
          <w:tcPr>
            <w:tcW w:w="64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被省级交通运输主管部门通报批评</w:t>
            </w:r>
          </w:p>
        </w:tc>
        <w:tc>
          <w:tcPr>
            <w:tcW w:w="16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3分/次(在企业总分扣除)</w:t>
            </w:r>
          </w:p>
        </w:tc>
        <w:tc>
          <w:tcPr>
            <w:tcW w:w="1677"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690" w:hRule="atLeast"/>
        </w:trPr>
        <w:tc>
          <w:tcPr>
            <w:tcW w:w="12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仿宋_GB2312"/>
                <w:color w:val="auto"/>
                <w:sz w:val="22"/>
                <w:szCs w:val="22"/>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GLSG3-8</w:t>
            </w:r>
          </w:p>
        </w:tc>
        <w:tc>
          <w:tcPr>
            <w:tcW w:w="64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被国务院交通运输主管部门通报批评</w:t>
            </w:r>
          </w:p>
        </w:tc>
        <w:tc>
          <w:tcPr>
            <w:tcW w:w="16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5分/次(在企业总分扣除)</w:t>
            </w:r>
          </w:p>
        </w:tc>
        <w:tc>
          <w:tcPr>
            <w:tcW w:w="1677"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宋体" w:eastAsia="仿宋_GB2312" w:cs="仿宋_GB2312"/>
                <w:color w:val="auto"/>
                <w:sz w:val="22"/>
                <w:szCs w:val="22"/>
              </w:rPr>
            </w:pPr>
          </w:p>
        </w:tc>
      </w:tr>
      <w:tr>
        <w:tblPrEx>
          <w:tblLayout w:type="fixed"/>
          <w:tblCellMar>
            <w:top w:w="15" w:type="dxa"/>
            <w:left w:w="15" w:type="dxa"/>
            <w:bottom w:w="15" w:type="dxa"/>
            <w:right w:w="15" w:type="dxa"/>
          </w:tblCellMar>
        </w:tblPrEx>
        <w:trPr>
          <w:trHeight w:val="690" w:hRule="atLeast"/>
        </w:trPr>
        <w:tc>
          <w:tcPr>
            <w:tcW w:w="12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仿宋_GB2312"/>
                <w:color w:val="auto"/>
                <w:sz w:val="22"/>
                <w:szCs w:val="22"/>
              </w:rPr>
            </w:pPr>
          </w:p>
        </w:tc>
        <w:tc>
          <w:tcPr>
            <w:tcW w:w="13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b w:val="0"/>
                <w:bCs/>
                <w:color w:val="auto"/>
                <w:sz w:val="22"/>
                <w:szCs w:val="22"/>
              </w:rPr>
            </w:pPr>
            <w:r>
              <w:rPr>
                <w:rFonts w:hint="eastAsia" w:ascii="仿宋_GB2312" w:hAnsi="宋体" w:eastAsia="仿宋_GB2312" w:cs="仿宋_GB2312"/>
                <w:b w:val="0"/>
                <w:bCs/>
                <w:color w:val="auto"/>
                <w:kern w:val="0"/>
                <w:sz w:val="22"/>
                <w:szCs w:val="22"/>
              </w:rPr>
              <w:t>省交通运输厅增加的其他被认为失信的其他行为</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b w:val="0"/>
                <w:bCs/>
                <w:color w:val="auto"/>
                <w:sz w:val="22"/>
                <w:szCs w:val="22"/>
              </w:rPr>
            </w:pPr>
            <w:r>
              <w:rPr>
                <w:b w:val="0"/>
                <w:bCs/>
                <w:color w:val="auto"/>
                <w:kern w:val="0"/>
                <w:sz w:val="22"/>
                <w:szCs w:val="22"/>
              </w:rPr>
              <w:t>GLSG3-9-1</w:t>
            </w:r>
          </w:p>
        </w:tc>
        <w:tc>
          <w:tcPr>
            <w:tcW w:w="64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宋体" w:eastAsia="仿宋_GB2312" w:cs="仿宋_GB2312"/>
                <w:b w:val="0"/>
                <w:bCs/>
                <w:color w:val="auto"/>
                <w:sz w:val="22"/>
                <w:szCs w:val="22"/>
              </w:rPr>
            </w:pPr>
            <w:r>
              <w:rPr>
                <w:rFonts w:hint="eastAsia" w:ascii="仿宋_GB2312" w:hAnsi="宋体" w:eastAsia="仿宋_GB2312" w:cs="仿宋_GB2312"/>
                <w:b w:val="0"/>
                <w:bCs/>
                <w:color w:val="auto"/>
                <w:kern w:val="0"/>
                <w:sz w:val="22"/>
                <w:szCs w:val="22"/>
              </w:rPr>
              <w:t>被省市质监站通报批评</w:t>
            </w:r>
          </w:p>
        </w:tc>
        <w:tc>
          <w:tcPr>
            <w:tcW w:w="16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b w:val="0"/>
                <w:bCs/>
                <w:color w:val="auto"/>
                <w:sz w:val="22"/>
                <w:szCs w:val="22"/>
              </w:rPr>
            </w:pPr>
            <w:r>
              <w:rPr>
                <w:rFonts w:hint="eastAsia" w:ascii="仿宋_GB2312" w:hAnsi="宋体" w:eastAsia="仿宋_GB2312" w:cs="仿宋_GB2312"/>
                <w:b w:val="0"/>
                <w:bCs/>
                <w:color w:val="auto"/>
                <w:kern w:val="0"/>
                <w:sz w:val="22"/>
                <w:szCs w:val="22"/>
              </w:rPr>
              <w:t>2分/次(在企业总分扣除)</w:t>
            </w:r>
          </w:p>
        </w:tc>
        <w:tc>
          <w:tcPr>
            <w:tcW w:w="1677"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宋体" w:eastAsia="仿宋_GB2312" w:cs="仿宋_GB2312"/>
                <w:b w:val="0"/>
                <w:bCs/>
                <w:color w:val="auto"/>
                <w:sz w:val="22"/>
                <w:szCs w:val="22"/>
              </w:rPr>
            </w:pPr>
          </w:p>
        </w:tc>
      </w:tr>
      <w:tr>
        <w:tblPrEx>
          <w:tblLayout w:type="fixed"/>
          <w:tblCellMar>
            <w:top w:w="15" w:type="dxa"/>
            <w:left w:w="15" w:type="dxa"/>
            <w:bottom w:w="15" w:type="dxa"/>
            <w:right w:w="15" w:type="dxa"/>
          </w:tblCellMar>
        </w:tblPrEx>
        <w:trPr>
          <w:trHeight w:val="690" w:hRule="atLeast"/>
        </w:trPr>
        <w:tc>
          <w:tcPr>
            <w:tcW w:w="12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仿宋_GB2312"/>
                <w:b w:val="0"/>
                <w:bCs/>
                <w:color w:val="auto"/>
                <w:sz w:val="22"/>
                <w:szCs w:val="22"/>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b w:val="0"/>
                <w:bCs/>
                <w:color w:val="auto"/>
                <w:sz w:val="22"/>
                <w:szCs w:val="22"/>
              </w:rPr>
            </w:pPr>
            <w:r>
              <w:rPr>
                <w:b w:val="0"/>
                <w:bCs/>
                <w:color w:val="auto"/>
                <w:kern w:val="0"/>
                <w:sz w:val="22"/>
                <w:szCs w:val="22"/>
              </w:rPr>
              <w:t>GLSG3-9-2</w:t>
            </w:r>
          </w:p>
        </w:tc>
        <w:tc>
          <w:tcPr>
            <w:tcW w:w="64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宋体" w:eastAsia="仿宋_GB2312" w:cs="仿宋_GB2312"/>
                <w:b w:val="0"/>
                <w:bCs/>
                <w:color w:val="auto"/>
                <w:sz w:val="22"/>
                <w:szCs w:val="22"/>
              </w:rPr>
            </w:pPr>
            <w:r>
              <w:rPr>
                <w:rFonts w:hint="eastAsia" w:ascii="仿宋_GB2312" w:hAnsi="宋体" w:eastAsia="仿宋_GB2312" w:cs="仿宋_GB2312"/>
                <w:b w:val="0"/>
                <w:bCs/>
                <w:color w:val="auto"/>
                <w:kern w:val="0"/>
                <w:sz w:val="22"/>
                <w:szCs w:val="22"/>
              </w:rPr>
              <w:t>被举报经查实存在一般质量问题、安全隐患</w:t>
            </w:r>
          </w:p>
        </w:tc>
        <w:tc>
          <w:tcPr>
            <w:tcW w:w="16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b w:val="0"/>
                <w:bCs/>
                <w:color w:val="auto"/>
                <w:sz w:val="22"/>
                <w:szCs w:val="22"/>
              </w:rPr>
            </w:pPr>
            <w:r>
              <w:rPr>
                <w:rFonts w:hint="eastAsia" w:ascii="仿宋_GB2312" w:hAnsi="宋体" w:eastAsia="仿宋_GB2312" w:cs="仿宋_GB2312"/>
                <w:b w:val="0"/>
                <w:bCs/>
                <w:color w:val="auto"/>
                <w:kern w:val="0"/>
                <w:sz w:val="22"/>
                <w:szCs w:val="22"/>
              </w:rPr>
              <w:t>2分/次(在企业总分扣除)</w:t>
            </w:r>
          </w:p>
        </w:tc>
        <w:tc>
          <w:tcPr>
            <w:tcW w:w="1677"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宋体" w:eastAsia="仿宋_GB2312" w:cs="仿宋_GB2312"/>
                <w:b w:val="0"/>
                <w:bCs/>
                <w:color w:val="auto"/>
                <w:sz w:val="22"/>
                <w:szCs w:val="22"/>
              </w:rPr>
            </w:pPr>
          </w:p>
        </w:tc>
      </w:tr>
      <w:tr>
        <w:tblPrEx>
          <w:tblLayout w:type="fixed"/>
          <w:tblCellMar>
            <w:top w:w="15" w:type="dxa"/>
            <w:left w:w="15" w:type="dxa"/>
            <w:bottom w:w="15" w:type="dxa"/>
            <w:right w:w="15" w:type="dxa"/>
          </w:tblCellMar>
        </w:tblPrEx>
        <w:trPr>
          <w:trHeight w:val="900" w:hRule="atLeast"/>
        </w:trPr>
        <w:tc>
          <w:tcPr>
            <w:tcW w:w="12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仿宋_GB2312"/>
                <w:b w:val="0"/>
                <w:bCs/>
                <w:color w:val="auto"/>
                <w:sz w:val="22"/>
                <w:szCs w:val="22"/>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b w:val="0"/>
                <w:bCs/>
                <w:color w:val="auto"/>
                <w:sz w:val="22"/>
                <w:szCs w:val="22"/>
              </w:rPr>
            </w:pPr>
            <w:r>
              <w:rPr>
                <w:b w:val="0"/>
                <w:bCs/>
                <w:color w:val="auto"/>
                <w:kern w:val="0"/>
                <w:sz w:val="22"/>
                <w:szCs w:val="22"/>
              </w:rPr>
              <w:t>GLSG3-9-3</w:t>
            </w:r>
          </w:p>
        </w:tc>
        <w:tc>
          <w:tcPr>
            <w:tcW w:w="64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宋体" w:eastAsia="仿宋_GB2312" w:cs="仿宋_GB2312"/>
                <w:b w:val="0"/>
                <w:bCs/>
                <w:color w:val="auto"/>
                <w:sz w:val="22"/>
                <w:szCs w:val="22"/>
              </w:rPr>
            </w:pPr>
            <w:r>
              <w:rPr>
                <w:rFonts w:hint="eastAsia" w:ascii="仿宋_GB2312" w:hAnsi="宋体" w:eastAsia="仿宋_GB2312" w:cs="仿宋_GB2312"/>
                <w:b w:val="0"/>
                <w:bCs/>
                <w:color w:val="auto"/>
                <w:kern w:val="0"/>
                <w:sz w:val="22"/>
                <w:szCs w:val="22"/>
              </w:rPr>
              <w:t>其他被认为失信的行为</w:t>
            </w:r>
          </w:p>
        </w:tc>
        <w:tc>
          <w:tcPr>
            <w:tcW w:w="16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b w:val="0"/>
                <w:bCs/>
                <w:color w:val="auto"/>
                <w:sz w:val="22"/>
                <w:szCs w:val="22"/>
              </w:rPr>
            </w:pPr>
            <w:r>
              <w:rPr>
                <w:rFonts w:hint="eastAsia" w:ascii="仿宋_GB2312" w:hAnsi="宋体" w:eastAsia="仿宋_GB2312" w:cs="仿宋_GB2312"/>
                <w:b w:val="0"/>
                <w:bCs/>
                <w:color w:val="auto"/>
                <w:kern w:val="0"/>
                <w:sz w:val="22"/>
                <w:szCs w:val="22"/>
              </w:rPr>
              <w:t>1—10分</w:t>
            </w:r>
          </w:p>
        </w:tc>
        <w:tc>
          <w:tcPr>
            <w:tcW w:w="167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宋体" w:eastAsia="仿宋_GB2312" w:cs="仿宋_GB2312"/>
                <w:b w:val="0"/>
                <w:bCs/>
                <w:color w:val="auto"/>
                <w:sz w:val="22"/>
                <w:szCs w:val="22"/>
              </w:rPr>
            </w:pPr>
            <w:r>
              <w:rPr>
                <w:rFonts w:hint="eastAsia" w:ascii="仿宋_GB2312" w:hAnsi="宋体" w:eastAsia="仿宋_GB2312" w:cs="仿宋_GB2312"/>
                <w:b w:val="0"/>
                <w:bCs/>
                <w:color w:val="auto"/>
                <w:kern w:val="0"/>
                <w:sz w:val="22"/>
                <w:szCs w:val="22"/>
              </w:rPr>
              <w:t>省交通运输厅在实施期间可根据实际情况再进一步细化</w:t>
            </w:r>
          </w:p>
        </w:tc>
      </w:tr>
      <w:tr>
        <w:tblPrEx>
          <w:tblLayout w:type="fixed"/>
          <w:tblCellMar>
            <w:top w:w="15" w:type="dxa"/>
            <w:left w:w="15" w:type="dxa"/>
            <w:bottom w:w="15" w:type="dxa"/>
            <w:right w:w="15" w:type="dxa"/>
          </w:tblCellMar>
        </w:tblPrEx>
        <w:trPr>
          <w:trHeight w:val="900" w:hRule="atLeast"/>
        </w:trPr>
        <w:tc>
          <w:tcPr>
            <w:tcW w:w="126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其它行为（行为代码GLSG3）</w:t>
            </w:r>
          </w:p>
        </w:tc>
        <w:tc>
          <w:tcPr>
            <w:tcW w:w="13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仿宋_GB2312"/>
                <w:b/>
                <w:color w:val="auto"/>
                <w:sz w:val="22"/>
                <w:szCs w:val="22"/>
              </w:rPr>
            </w:pPr>
            <w:r>
              <w:rPr>
                <w:rFonts w:hint="eastAsia" w:ascii="仿宋_GB2312" w:hAnsi="宋体" w:eastAsia="仿宋_GB2312" w:cs="仿宋_GB2312"/>
                <w:b w:val="0"/>
                <w:bCs/>
                <w:color w:val="auto"/>
                <w:kern w:val="0"/>
                <w:sz w:val="22"/>
                <w:szCs w:val="22"/>
              </w:rPr>
              <w:t>省交通运输厅增加的其他被认为失信的其他行为</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b/>
                <w:color w:val="auto"/>
                <w:kern w:val="0"/>
                <w:sz w:val="22"/>
                <w:szCs w:val="22"/>
              </w:rPr>
            </w:pPr>
            <w:r>
              <w:rPr>
                <w:rFonts w:hint="eastAsia" w:ascii="仿宋_GB2312" w:hAnsi="宋体" w:eastAsia="仿宋_GB2312" w:cs="仿宋_GB2312"/>
                <w:b/>
                <w:color w:val="auto"/>
                <w:sz w:val="22"/>
                <w:szCs w:val="22"/>
              </w:rPr>
              <w:t>GLSG3-9-</w:t>
            </w:r>
            <w:r>
              <w:rPr>
                <w:rFonts w:hint="eastAsia" w:ascii="仿宋_GB2312" w:hAnsi="宋体" w:eastAsia="仿宋_GB2312" w:cs="仿宋_GB2312"/>
                <w:b/>
                <w:color w:val="auto"/>
                <w:sz w:val="22"/>
                <w:szCs w:val="22"/>
                <w:lang w:val="en-US" w:eastAsia="zh-CN"/>
              </w:rPr>
              <w:t>4</w:t>
            </w:r>
          </w:p>
        </w:tc>
        <w:tc>
          <w:tcPr>
            <w:tcW w:w="64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b/>
                <w:color w:val="auto"/>
                <w:kern w:val="0"/>
                <w:sz w:val="22"/>
                <w:szCs w:val="22"/>
              </w:rPr>
            </w:pPr>
            <w:r>
              <w:rPr>
                <w:rFonts w:hint="eastAsia" w:ascii="仿宋_GB2312" w:hAnsi="宋体" w:eastAsia="仿宋_GB2312" w:cs="仿宋_GB2312"/>
                <w:b/>
                <w:color w:val="auto"/>
                <w:sz w:val="22"/>
                <w:szCs w:val="22"/>
              </w:rPr>
              <w:t>被交通运输主管部门或其他监管机构约谈</w:t>
            </w:r>
          </w:p>
        </w:tc>
        <w:tc>
          <w:tcPr>
            <w:tcW w:w="16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b/>
                <w:color w:val="auto"/>
                <w:kern w:val="0"/>
                <w:sz w:val="22"/>
                <w:szCs w:val="22"/>
              </w:rPr>
            </w:pPr>
            <w:r>
              <w:rPr>
                <w:rFonts w:hint="eastAsia" w:ascii="仿宋_GB2312" w:hAnsi="宋体" w:eastAsia="仿宋_GB2312" w:cs="仿宋_GB2312"/>
                <w:b/>
                <w:color w:val="auto"/>
                <w:kern w:val="0"/>
                <w:sz w:val="22"/>
                <w:szCs w:val="22"/>
              </w:rPr>
              <w:t>2分/次(在企业总分中扣除)</w:t>
            </w:r>
          </w:p>
        </w:tc>
        <w:tc>
          <w:tcPr>
            <w:tcW w:w="16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b/>
                <w:color w:val="auto"/>
                <w:kern w:val="0"/>
                <w:sz w:val="22"/>
                <w:szCs w:val="22"/>
              </w:rPr>
            </w:pPr>
          </w:p>
        </w:tc>
      </w:tr>
      <w:tr>
        <w:tblPrEx>
          <w:tblLayout w:type="fixed"/>
          <w:tblCellMar>
            <w:top w:w="15" w:type="dxa"/>
            <w:left w:w="15" w:type="dxa"/>
            <w:bottom w:w="15" w:type="dxa"/>
            <w:right w:w="15" w:type="dxa"/>
          </w:tblCellMar>
        </w:tblPrEx>
        <w:trPr>
          <w:trHeight w:val="720" w:hRule="atLeast"/>
        </w:trPr>
        <w:tc>
          <w:tcPr>
            <w:tcW w:w="1260" w:type="dxa"/>
            <w:vMerge w:val="continue"/>
            <w:tcBorders>
              <w:top w:val="single" w:color="auto" w:sz="4" w:space="0"/>
              <w:left w:val="single" w:color="auto" w:sz="4" w:space="0"/>
              <w:right w:val="single" w:color="auto"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仿宋_GB2312"/>
                <w:b/>
                <w:color w:val="auto"/>
                <w:sz w:val="22"/>
                <w:szCs w:val="22"/>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b/>
                <w:color w:val="auto"/>
                <w:kern w:val="0"/>
                <w:sz w:val="22"/>
                <w:szCs w:val="22"/>
              </w:rPr>
            </w:pPr>
            <w:r>
              <w:rPr>
                <w:rFonts w:hint="eastAsia" w:ascii="仿宋_GB2312" w:hAnsi="宋体" w:eastAsia="仿宋_GB2312" w:cs="仿宋_GB2312"/>
                <w:b/>
                <w:color w:val="auto"/>
                <w:sz w:val="22"/>
                <w:szCs w:val="22"/>
              </w:rPr>
              <w:t>GLSG3-9-</w:t>
            </w:r>
            <w:r>
              <w:rPr>
                <w:rFonts w:hint="eastAsia" w:ascii="仿宋_GB2312" w:hAnsi="宋体" w:eastAsia="仿宋_GB2312" w:cs="仿宋_GB2312"/>
                <w:b/>
                <w:color w:val="auto"/>
                <w:sz w:val="22"/>
                <w:szCs w:val="22"/>
                <w:lang w:val="en-US" w:eastAsia="zh-CN"/>
              </w:rPr>
              <w:t>5</w:t>
            </w:r>
          </w:p>
        </w:tc>
        <w:tc>
          <w:tcPr>
            <w:tcW w:w="64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b/>
                <w:color w:val="auto"/>
                <w:kern w:val="0"/>
                <w:sz w:val="22"/>
                <w:szCs w:val="22"/>
              </w:rPr>
            </w:pPr>
            <w:r>
              <w:rPr>
                <w:rFonts w:hint="eastAsia" w:ascii="仿宋_GB2312" w:hAnsi="宋体" w:eastAsia="仿宋_GB2312" w:cs="仿宋_GB2312"/>
                <w:b/>
                <w:color w:val="auto"/>
                <w:sz w:val="22"/>
                <w:szCs w:val="22"/>
              </w:rPr>
              <w:t>因自身原因无法继续履约，被项目法人清退出场或终止合同</w:t>
            </w:r>
          </w:p>
        </w:tc>
        <w:tc>
          <w:tcPr>
            <w:tcW w:w="16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b/>
                <w:color w:val="auto"/>
                <w:kern w:val="0"/>
                <w:sz w:val="22"/>
                <w:szCs w:val="22"/>
              </w:rPr>
            </w:pPr>
            <w:r>
              <w:rPr>
                <w:rFonts w:hint="eastAsia" w:ascii="仿宋_GB2312" w:hAnsi="宋体" w:eastAsia="仿宋_GB2312" w:cs="仿宋_GB2312"/>
                <w:b/>
                <w:color w:val="auto"/>
                <w:kern w:val="0"/>
                <w:sz w:val="22"/>
                <w:szCs w:val="22"/>
              </w:rPr>
              <w:t>直接定为D级</w:t>
            </w:r>
          </w:p>
        </w:tc>
        <w:tc>
          <w:tcPr>
            <w:tcW w:w="16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b/>
                <w:color w:val="auto"/>
                <w:kern w:val="0"/>
                <w:sz w:val="22"/>
                <w:szCs w:val="22"/>
              </w:rPr>
            </w:pPr>
          </w:p>
        </w:tc>
      </w:tr>
      <w:tr>
        <w:tblPrEx>
          <w:tblLayout w:type="fixed"/>
          <w:tblCellMar>
            <w:top w:w="15" w:type="dxa"/>
            <w:left w:w="15" w:type="dxa"/>
            <w:bottom w:w="15" w:type="dxa"/>
            <w:right w:w="15" w:type="dxa"/>
          </w:tblCellMar>
        </w:tblPrEx>
        <w:trPr>
          <w:trHeight w:val="750" w:hRule="atLeast"/>
        </w:trPr>
        <w:tc>
          <w:tcPr>
            <w:tcW w:w="1260" w:type="dxa"/>
            <w:vMerge w:val="continue"/>
            <w:tcBorders>
              <w:left w:val="single" w:color="auto" w:sz="4" w:space="0"/>
              <w:bottom w:val="single" w:color="auto" w:sz="4" w:space="0"/>
              <w:right w:val="single" w:color="auto" w:sz="4" w:space="0"/>
            </w:tcBorders>
            <w:vAlign w:val="center"/>
          </w:tcPr>
          <w:p>
            <w:pPr>
              <w:jc w:val="center"/>
              <w:rPr>
                <w:rFonts w:hint="eastAsia" w:ascii="仿宋_GB2312" w:hAnsi="宋体" w:eastAsia="仿宋_GB2312" w:cs="仿宋_GB2312"/>
                <w:color w:val="auto"/>
                <w:sz w:val="22"/>
                <w:szCs w:val="22"/>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仿宋_GB2312"/>
                <w:b/>
                <w:color w:val="auto"/>
                <w:sz w:val="22"/>
                <w:szCs w:val="22"/>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b/>
                <w:color w:val="auto"/>
                <w:kern w:val="0"/>
                <w:sz w:val="22"/>
                <w:szCs w:val="22"/>
              </w:rPr>
            </w:pPr>
            <w:r>
              <w:rPr>
                <w:rFonts w:hint="eastAsia" w:ascii="仿宋_GB2312" w:hAnsi="宋体" w:eastAsia="仿宋_GB2312" w:cs="仿宋_GB2312"/>
                <w:b/>
                <w:color w:val="auto"/>
                <w:sz w:val="22"/>
                <w:szCs w:val="22"/>
              </w:rPr>
              <w:t>GLSG3-9-</w:t>
            </w:r>
            <w:r>
              <w:rPr>
                <w:rFonts w:hint="eastAsia" w:ascii="仿宋_GB2312" w:hAnsi="宋体" w:eastAsia="仿宋_GB2312" w:cs="仿宋_GB2312"/>
                <w:b/>
                <w:color w:val="auto"/>
                <w:sz w:val="22"/>
                <w:szCs w:val="22"/>
                <w:lang w:val="en-US" w:eastAsia="zh-CN"/>
              </w:rPr>
              <w:t>6</w:t>
            </w:r>
          </w:p>
        </w:tc>
        <w:tc>
          <w:tcPr>
            <w:tcW w:w="64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b/>
                <w:color w:val="auto"/>
                <w:kern w:val="0"/>
                <w:sz w:val="22"/>
                <w:szCs w:val="22"/>
              </w:rPr>
            </w:pPr>
            <w:r>
              <w:rPr>
                <w:rFonts w:hint="eastAsia" w:ascii="仿宋_GB2312" w:hAnsi="宋体" w:eastAsia="仿宋_GB2312" w:cs="仿宋_GB2312"/>
                <w:b/>
                <w:color w:val="auto"/>
                <w:sz w:val="22"/>
                <w:szCs w:val="22"/>
                <w:lang w:val="en-US" w:eastAsia="zh-CN"/>
              </w:rPr>
              <w:t>恶意</w:t>
            </w:r>
            <w:r>
              <w:rPr>
                <w:rFonts w:hint="eastAsia" w:ascii="仿宋_GB2312" w:hAnsi="宋体" w:eastAsia="仿宋_GB2312" w:cs="仿宋_GB2312"/>
                <w:b/>
                <w:color w:val="auto"/>
                <w:sz w:val="22"/>
                <w:szCs w:val="22"/>
              </w:rPr>
              <w:t>拖欠农民工工资被强制执行，</w:t>
            </w:r>
            <w:r>
              <w:rPr>
                <w:rFonts w:hint="eastAsia" w:ascii="仿宋_GB2312" w:hAnsi="宋体" w:eastAsia="仿宋_GB2312" w:cs="仿宋_GB2312"/>
                <w:b/>
                <w:color w:val="auto"/>
                <w:sz w:val="22"/>
                <w:szCs w:val="22"/>
                <w:lang w:val="en-US" w:eastAsia="zh-CN"/>
              </w:rPr>
              <w:t>或因拖欠问题造成群体时间或</w:t>
            </w:r>
            <w:r>
              <w:rPr>
                <w:rFonts w:hint="eastAsia" w:ascii="仿宋_GB2312" w:hAnsi="宋体" w:eastAsia="仿宋_GB2312" w:cs="仿宋_GB2312"/>
                <w:b/>
                <w:color w:val="auto"/>
                <w:sz w:val="22"/>
                <w:szCs w:val="22"/>
              </w:rPr>
              <w:t>不良社会影响的</w:t>
            </w:r>
          </w:p>
        </w:tc>
        <w:tc>
          <w:tcPr>
            <w:tcW w:w="16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b/>
                <w:color w:val="auto"/>
                <w:kern w:val="0"/>
                <w:sz w:val="22"/>
                <w:szCs w:val="22"/>
              </w:rPr>
            </w:pPr>
            <w:r>
              <w:rPr>
                <w:rFonts w:hint="eastAsia" w:ascii="仿宋_GB2312" w:hAnsi="宋体" w:eastAsia="仿宋_GB2312" w:cs="仿宋_GB2312"/>
                <w:b/>
                <w:color w:val="auto"/>
                <w:sz w:val="22"/>
                <w:szCs w:val="22"/>
              </w:rPr>
              <w:t>直接定为D级</w:t>
            </w:r>
          </w:p>
        </w:tc>
        <w:tc>
          <w:tcPr>
            <w:tcW w:w="16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b/>
                <w:color w:val="auto"/>
                <w:kern w:val="0"/>
                <w:sz w:val="22"/>
                <w:szCs w:val="22"/>
              </w:rPr>
            </w:pPr>
            <w:r>
              <w:rPr>
                <w:rFonts w:hint="eastAsia" w:ascii="仿宋_GB2312" w:hAnsi="宋体" w:eastAsia="仿宋_GB2312" w:cs="仿宋_GB2312"/>
                <w:b/>
                <w:color w:val="auto"/>
                <w:sz w:val="22"/>
                <w:szCs w:val="22"/>
              </w:rPr>
              <w:t>根据国家及部农民工工资有关规定建议修订为“</w:t>
            </w:r>
            <w:r>
              <w:rPr>
                <w:rFonts w:hint="eastAsia" w:ascii="仿宋_GB2312" w:hAnsi="宋体" w:eastAsia="仿宋_GB2312" w:cs="仿宋_GB2312"/>
                <w:b/>
                <w:color w:val="auto"/>
                <w:sz w:val="22"/>
                <w:szCs w:val="22"/>
                <w:lang w:val="en-US" w:eastAsia="zh-CN"/>
              </w:rPr>
              <w:t>D级</w:t>
            </w:r>
            <w:r>
              <w:rPr>
                <w:rFonts w:hint="eastAsia" w:ascii="仿宋_GB2312" w:hAnsi="宋体" w:eastAsia="仿宋_GB2312" w:cs="仿宋_GB2312"/>
                <w:b/>
                <w:color w:val="auto"/>
                <w:sz w:val="22"/>
                <w:szCs w:val="22"/>
              </w:rPr>
              <w:t>”</w:t>
            </w:r>
          </w:p>
        </w:tc>
      </w:tr>
      <w:tr>
        <w:tblPrEx>
          <w:tblLayout w:type="fixed"/>
          <w:tblCellMar>
            <w:top w:w="15" w:type="dxa"/>
            <w:left w:w="15" w:type="dxa"/>
            <w:bottom w:w="15" w:type="dxa"/>
            <w:right w:w="15" w:type="dxa"/>
          </w:tblCellMar>
        </w:tblPrEx>
        <w:trPr>
          <w:trHeight w:val="405" w:hRule="atLeast"/>
        </w:trPr>
        <w:tc>
          <w:tcPr>
            <w:tcW w:w="14052" w:type="dxa"/>
            <w:gridSpan w:val="6"/>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备注：履约行为检查每半年开展一次，一种行为在同次检查中原则上不重复扣分。检查结果以正式书面文件为准。</w:t>
            </w:r>
          </w:p>
        </w:tc>
      </w:tr>
      <w:tr>
        <w:tblPrEx>
          <w:tblLayout w:type="fixed"/>
          <w:tblCellMar>
            <w:top w:w="15" w:type="dxa"/>
            <w:left w:w="15" w:type="dxa"/>
            <w:bottom w:w="15" w:type="dxa"/>
            <w:right w:w="15" w:type="dxa"/>
          </w:tblCellMar>
        </w:tblPrEx>
        <w:trPr>
          <w:trHeight w:val="405" w:hRule="atLeast"/>
        </w:trPr>
        <w:tc>
          <w:tcPr>
            <w:tcW w:w="14052" w:type="dxa"/>
            <w:gridSpan w:val="6"/>
            <w:vAlign w:val="center"/>
          </w:tcPr>
          <w:p>
            <w:pPr>
              <w:widowControl/>
              <w:jc w:val="left"/>
              <w:textAlignment w:val="center"/>
              <w:rPr>
                <w:rFonts w:hint="eastAsia"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rPr>
              <w:t xml:space="preserve">      检查中未发现但事后查实，其失信行为可以追溯。</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v:imagedata o:title=""/>
              <o:lock v:ext="edit" grouping="f" rotation="f" text="f" aspectratio="f"/>
              <v:textbox inset="0mm,0mm,0mm,0mm" style="mso-fit-shape-to-text:t;">
                <w:txbxContent>
                  <w:p>
                    <w:pPr>
                      <w:snapToGrid w:val="0"/>
                      <w:rPr>
                        <w:rFonts w:hint="eastAsia"/>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F9FBFA"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4906AD"/>
    <w:rsid w:val="2A4906A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2018-11-26T02:35:00Z</dcterms:created>
  <dc:creator>wang</dc:creator>
  <cp:lastModifiedBy>wang</cp:lastModifiedBy>
  <dcterms:modified xsi:type="dcterms:W3CDTF">2018-11-26T02:36:12Z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