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附件1</w:t>
      </w:r>
    </w:p>
    <w:p>
      <w:pPr>
        <w:spacing w:line="600" w:lineRule="exact"/>
        <w:jc w:val="center"/>
        <w:rPr>
          <w:rFonts w:hint="eastAsia"/>
          <w:color w:val="auto"/>
          <w:shd w:val="clear" w:color="auto" w:fill="auto"/>
        </w:rPr>
      </w:pPr>
      <w:r>
        <w:rPr>
          <w:rStyle w:val="9"/>
          <w:color w:val="auto"/>
          <w:shd w:val="clear" w:color="auto" w:fill="auto"/>
          <w:lang w:bidi="ar"/>
        </w:rPr>
        <w:t>陕西省公路养护施工单位信用行为评定标准</w:t>
      </w:r>
    </w:p>
    <w:tbl>
      <w:tblPr>
        <w:tblStyle w:val="6"/>
        <w:tblW w:w="0" w:type="auto"/>
        <w:jc w:val="center"/>
        <w:tblLayout w:type="fixed"/>
        <w:tblCellMar>
          <w:top w:w="0" w:type="dxa"/>
          <w:left w:w="0" w:type="dxa"/>
          <w:bottom w:w="0" w:type="dxa"/>
          <w:right w:w="0" w:type="dxa"/>
        </w:tblCellMar>
      </w:tblPr>
      <w:tblGrid>
        <w:gridCol w:w="1240"/>
        <w:gridCol w:w="1725"/>
        <w:gridCol w:w="1241"/>
        <w:gridCol w:w="6442"/>
        <w:gridCol w:w="2046"/>
        <w:gridCol w:w="2040"/>
      </w:tblGrid>
      <w:tr>
        <w:tblPrEx>
          <w:tblCellMar>
            <w:top w:w="0" w:type="dxa"/>
            <w:left w:w="0" w:type="dxa"/>
            <w:bottom w:w="0" w:type="dxa"/>
            <w:right w:w="0" w:type="dxa"/>
          </w:tblCellMar>
        </w:tblPrEx>
        <w:trPr>
          <w:trHeight w:val="403" w:hRule="atLeast"/>
          <w:tblHeader/>
          <w:jc w:val="center"/>
        </w:trPr>
        <w:tc>
          <w:tcPr>
            <w:tcW w:w="296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ascii="黑体" w:hAnsi="宋体" w:eastAsia="黑体" w:cs="黑体"/>
                <w:color w:val="auto"/>
                <w:sz w:val="20"/>
                <w:szCs w:val="20"/>
                <w:highlight w:val="none"/>
                <w:shd w:val="clear" w:color="auto" w:fill="auto"/>
              </w:rPr>
            </w:pPr>
            <w:r>
              <w:rPr>
                <w:rFonts w:hint="eastAsia" w:ascii="黑体" w:hAnsi="宋体" w:eastAsia="黑体" w:cs="黑体"/>
                <w:color w:val="auto"/>
                <w:kern w:val="0"/>
                <w:sz w:val="20"/>
                <w:szCs w:val="20"/>
                <w:highlight w:val="none"/>
                <w:shd w:val="clear" w:color="auto" w:fill="auto"/>
                <w:lang w:bidi="ar"/>
              </w:rPr>
              <w:t>评定内容</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黑体" w:hAnsi="宋体" w:eastAsia="黑体" w:cs="黑体"/>
                <w:color w:val="auto"/>
                <w:sz w:val="20"/>
                <w:szCs w:val="20"/>
                <w:highlight w:val="none"/>
                <w:shd w:val="clear" w:color="auto" w:fill="auto"/>
              </w:rPr>
            </w:pPr>
            <w:r>
              <w:rPr>
                <w:rFonts w:hint="eastAsia" w:ascii="黑体" w:hAnsi="宋体" w:eastAsia="黑体" w:cs="黑体"/>
                <w:color w:val="auto"/>
                <w:kern w:val="0"/>
                <w:sz w:val="20"/>
                <w:szCs w:val="20"/>
                <w:highlight w:val="none"/>
                <w:shd w:val="clear" w:color="auto" w:fill="auto"/>
                <w:lang w:bidi="ar"/>
              </w:rPr>
              <w:t>行为代码</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黑体" w:hAnsi="宋体" w:eastAsia="黑体" w:cs="黑体"/>
                <w:color w:val="auto"/>
                <w:sz w:val="20"/>
                <w:szCs w:val="20"/>
                <w:highlight w:val="none"/>
                <w:shd w:val="clear" w:color="auto" w:fill="auto"/>
              </w:rPr>
            </w:pPr>
            <w:r>
              <w:rPr>
                <w:rFonts w:hint="eastAsia" w:ascii="黑体" w:hAnsi="宋体" w:eastAsia="黑体" w:cs="黑体"/>
                <w:color w:val="auto"/>
                <w:kern w:val="0"/>
                <w:sz w:val="20"/>
                <w:szCs w:val="20"/>
                <w:highlight w:val="none"/>
                <w:shd w:val="clear" w:color="auto" w:fill="auto"/>
                <w:lang w:bidi="ar"/>
              </w:rPr>
              <w:t>失信行为</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黑体" w:hAnsi="宋体" w:eastAsia="黑体" w:cs="黑体"/>
                <w:color w:val="auto"/>
                <w:sz w:val="20"/>
                <w:szCs w:val="20"/>
                <w:highlight w:val="none"/>
                <w:shd w:val="clear" w:color="auto" w:fill="auto"/>
              </w:rPr>
            </w:pPr>
            <w:r>
              <w:rPr>
                <w:rFonts w:hint="eastAsia" w:ascii="黑体" w:hAnsi="宋体" w:eastAsia="黑体" w:cs="黑体"/>
                <w:color w:val="auto"/>
                <w:kern w:val="0"/>
                <w:sz w:val="20"/>
                <w:szCs w:val="20"/>
                <w:highlight w:val="none"/>
                <w:shd w:val="clear" w:color="auto" w:fill="auto"/>
                <w:lang w:bidi="ar"/>
              </w:rPr>
              <w:t>行为等级和扣分标准</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黑体" w:hAnsi="宋体" w:eastAsia="黑体" w:cs="黑体"/>
                <w:color w:val="auto"/>
                <w:sz w:val="20"/>
                <w:szCs w:val="20"/>
                <w:highlight w:val="none"/>
                <w:shd w:val="clear" w:color="auto" w:fill="auto"/>
              </w:rPr>
            </w:pPr>
            <w:r>
              <w:rPr>
                <w:rFonts w:hint="eastAsia" w:ascii="黑体" w:hAnsi="宋体" w:eastAsia="黑体" w:cs="黑体"/>
                <w:color w:val="auto"/>
                <w:kern w:val="0"/>
                <w:sz w:val="20"/>
                <w:szCs w:val="20"/>
                <w:highlight w:val="none"/>
                <w:shd w:val="clear" w:color="auto" w:fill="auto"/>
                <w:lang w:bidi="ar"/>
              </w:rPr>
              <w:t>说明</w:t>
            </w:r>
          </w:p>
        </w:tc>
      </w:tr>
      <w:tr>
        <w:tblPrEx>
          <w:tblCellMar>
            <w:top w:w="0" w:type="dxa"/>
            <w:left w:w="0" w:type="dxa"/>
            <w:bottom w:w="0" w:type="dxa"/>
            <w:right w:w="0" w:type="dxa"/>
          </w:tblCellMar>
        </w:tblPrEx>
        <w:trPr>
          <w:trHeight w:val="400" w:hRule="atLeast"/>
          <w:jc w:val="center"/>
        </w:trPr>
        <w:tc>
          <w:tcPr>
            <w:tcW w:w="1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投标行为（满分100分，扣完为止。行为代码GLSG1）</w:t>
            </w: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严重失信行为（行为代码GLSG1-1）</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GLSG1-1-1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超越资质等级许可范围承揽工程</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GLSG1-1-2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出借资质，允许其它单位或个人以本单位名义投标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GLSG1-1-3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借用他人资质证书承揽工程</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GLSG1-1-4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与招标人或与其它投标人串通投标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GLSG1-1-5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资审材料或投标文件虚假骗取中标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GLSG1-1-6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投标中有行贿行为</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GLSG1-1-7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投标人恶意不响应招标文件，造成工程流标的</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GLSG1-1-8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因违法法律、法规、规章被禁止投标后，在禁止期内仍参与投标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D级延期半年/次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52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其它投标失信行为（行为代码GLSG1-2）</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资审材料或投标文件虚假未中标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单个合同段单次投标为1次</w:t>
            </w: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中标人拒不按照招标文件要求提交履约保证金或提交虚假履约保函</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中标后无正当理由放弃中标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对同一合同段递交多份资格预审申请文件或投标文件</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非招标人原因放弃投标，未提前书面告知招标人</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未按时确认补遗书等招标人发出的通知</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不及时反馈评标澄清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无正当理由拖延合同签订时间</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66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虚假投诉举报</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当年度省内信用等级降一级</w:t>
            </w:r>
          </w:p>
        </w:tc>
      </w:tr>
      <w:tr>
        <w:tblPrEx>
          <w:tblCellMar>
            <w:top w:w="0" w:type="dxa"/>
            <w:left w:w="0" w:type="dxa"/>
            <w:bottom w:w="0" w:type="dxa"/>
            <w:right w:w="0" w:type="dxa"/>
          </w:tblCellMar>
        </w:tblPrEx>
        <w:trPr>
          <w:trHeight w:val="8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GLSG1-2-10</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投标人资格预审后放弃投标、不填写投标报价、投标报价超过最高限价的</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出现3次的，陕西省内信用等级直接定为D级</w:t>
            </w:r>
          </w:p>
        </w:tc>
      </w:tr>
      <w:tr>
        <w:tblPrEx>
          <w:tblCellMar>
            <w:top w:w="0" w:type="dxa"/>
            <w:left w:w="0" w:type="dxa"/>
            <w:bottom w:w="0" w:type="dxa"/>
            <w:right w:w="0" w:type="dxa"/>
          </w:tblCellMar>
        </w:tblPrEx>
        <w:trPr>
          <w:trHeight w:val="104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GLSG1-2-11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其它被认为失信的投标行为</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1-10分</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省交通运输厅在实施期间根据具体情况进一步细化</w:t>
            </w:r>
          </w:p>
        </w:tc>
      </w:tr>
      <w:tr>
        <w:tblPrEx>
          <w:tblCellMar>
            <w:top w:w="0" w:type="dxa"/>
            <w:left w:w="0" w:type="dxa"/>
            <w:bottom w:w="0" w:type="dxa"/>
            <w:right w:w="0" w:type="dxa"/>
          </w:tblCellMar>
        </w:tblPrEx>
        <w:trPr>
          <w:trHeight w:val="400" w:hRule="atLeast"/>
          <w:jc w:val="center"/>
        </w:trPr>
        <w:tc>
          <w:tcPr>
            <w:tcW w:w="1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履约行为（满分100分，扣完为止。GLSG2）</w:t>
            </w: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严重失信行为（行为代码GLSG2-1）</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GLSG2-1-1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将中标合同转让</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kern w:val="0"/>
                <w:sz w:val="20"/>
                <w:szCs w:val="20"/>
                <w:highlight w:val="none"/>
                <w:shd w:val="clear" w:color="auto" w:fill="auto"/>
                <w:lang w:bidi="ar"/>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kern w:val="0"/>
                <w:sz w:val="20"/>
                <w:szCs w:val="20"/>
                <w:highlight w:val="none"/>
                <w:shd w:val="clear" w:color="auto" w:fill="auto"/>
                <w:lang w:bidi="ar"/>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kern w:val="0"/>
                <w:sz w:val="20"/>
                <w:szCs w:val="20"/>
                <w:highlight w:val="none"/>
                <w:shd w:val="clear" w:color="auto" w:fill="auto"/>
                <w:lang w:bidi="ar"/>
              </w:rPr>
            </w:pPr>
            <w:r>
              <w:rPr>
                <w:rFonts w:hint="eastAsia" w:ascii="仿宋_GB2312" w:hAnsi="宋体" w:eastAsia="仿宋_GB2312" w:cs="仿宋_GB2312"/>
                <w:color w:val="auto"/>
                <w:kern w:val="0"/>
                <w:sz w:val="20"/>
                <w:szCs w:val="20"/>
                <w:highlight w:val="none"/>
                <w:shd w:val="clear" w:color="auto" w:fill="auto"/>
                <w:lang w:bidi="ar"/>
              </w:rPr>
              <w:t>GLSG2-1-2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kern w:val="0"/>
                <w:sz w:val="20"/>
                <w:szCs w:val="20"/>
                <w:highlight w:val="none"/>
                <w:shd w:val="clear" w:color="auto" w:fill="auto"/>
                <w:lang w:bidi="ar"/>
              </w:rPr>
            </w:pPr>
            <w:r>
              <w:rPr>
                <w:rFonts w:hint="eastAsia" w:ascii="仿宋_GB2312" w:hAnsi="宋体" w:eastAsia="仿宋_GB2312" w:cs="仿宋_GB2312"/>
                <w:color w:val="auto"/>
                <w:kern w:val="0"/>
                <w:sz w:val="20"/>
                <w:szCs w:val="20"/>
                <w:highlight w:val="none"/>
                <w:shd w:val="clear" w:color="auto" w:fill="auto"/>
                <w:lang w:bidi="ar"/>
              </w:rPr>
              <w:t>将合同段全部工作内容肢解后分别分包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kern w:val="0"/>
                <w:sz w:val="20"/>
                <w:szCs w:val="20"/>
                <w:highlight w:val="none"/>
                <w:shd w:val="clear" w:color="auto" w:fill="auto"/>
                <w:lang w:bidi="ar"/>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GLSG2-1-3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发生重大质量或重大及以上安全生产责任事故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56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GLSG2-1-4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经质量监督机构鉴定合同段工程质量不合格或施工管理综合评定为差</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54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GLSG2-1-5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在施工过程中触碰环境保护、水源地保护及基本农田保护区等三条红线</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GLSG2-1-6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违反公路工程建设强制性标准</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GLSG2-1-7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将中标合同违法分包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GLSG2-1-8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承包人疏于管理，分包工程再次分包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GLSG2-1-9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发生较大安全生产责任事故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lang w:val="en-US" w:eastAsia="zh-CN"/>
              </w:rPr>
            </w:pPr>
            <w:r>
              <w:rPr>
                <w:rFonts w:hint="eastAsia" w:ascii="仿宋_GB2312" w:hAnsi="宋体" w:eastAsia="仿宋_GB2312" w:cs="仿宋_GB2312"/>
                <w:color w:val="auto"/>
                <w:kern w:val="0"/>
                <w:sz w:val="20"/>
                <w:szCs w:val="20"/>
                <w:highlight w:val="none"/>
                <w:shd w:val="clear" w:color="auto" w:fill="auto"/>
                <w:lang w:bidi="ar"/>
              </w:rPr>
              <w:t>GLSG2-1-</w:t>
            </w:r>
            <w:r>
              <w:rPr>
                <w:rFonts w:hint="eastAsia" w:ascii="仿宋_GB2312" w:hAnsi="宋体" w:eastAsia="仿宋_GB2312" w:cs="仿宋_GB2312"/>
                <w:color w:val="auto"/>
                <w:kern w:val="0"/>
                <w:sz w:val="20"/>
                <w:szCs w:val="20"/>
                <w:highlight w:val="none"/>
                <w:shd w:val="clear" w:color="auto" w:fill="auto"/>
                <w:lang w:val="en-US" w:eastAsia="zh-CN" w:bidi="ar"/>
              </w:rPr>
              <w:t>10</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因施工管理不善造成工程未按期完工，造成社会强烈反响</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人员、设备到位（满分10分，扣完为止。行为代码GLSG2-2）</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签订合同后无正当理由不按投标文件承诺时间进场</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2分/延迟10日</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6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项目经理未按投标承诺到位，或在施工期间所更换项目经理资格降低，或未经批准擅自更换</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4分/人次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52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项目经理在施工期间不低于原资格更换</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0.5分/人次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项目法人要求更换的除外</w:t>
            </w:r>
          </w:p>
        </w:tc>
      </w:tr>
      <w:tr>
        <w:tblPrEx>
          <w:tblCellMar>
            <w:top w:w="0" w:type="dxa"/>
            <w:left w:w="0" w:type="dxa"/>
            <w:bottom w:w="0" w:type="dxa"/>
            <w:right w:w="0" w:type="dxa"/>
          </w:tblCellMar>
        </w:tblPrEx>
        <w:trPr>
          <w:trHeight w:val="62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技术负责人未按投标承诺到位，或在施工期间更换人员资格降低，或未经批准擅自更换</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技术负责人在施工期间不低于原人员资格更换</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0.3分/人次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5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安全员或其它注册执业人员未按投标承诺到位，或无正当理由更换</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0.5分/人次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主要工程管理、技术人员未按投标承诺到位</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0.2分/人次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主要施工机械、试验检测设备未按投标承诺或工程需要到位</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0.5-1分/台套</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有关人员未按要求持证上岗</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GLSG2-2-10</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未按规定签订劳务用工合同</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质量管理、进度管理（满分50，扣完为止。行为代码GLSG2-3）</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拒绝或阻碍依法进行公路建设监督检查工作</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8分/人次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未对职工进行专项教育和培训</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0.5分/人次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质量保证体系或质量保证措施不健全</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122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特殊季节施工预防措施不健全</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对季节性施工有特殊预防要求的，如雨季、冬季施工，应有相应预防措施</w:t>
            </w: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未建立工程质量责任登记制度</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8分</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使用不合格的建筑材料、建筑构配件和设备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不按设计图纸施工</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8分/次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不按施工技术标准、规范施工</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未经监理签认进入下道工序或分项工程</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GLSG2-3-10</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未经监理签认将建筑材料、建筑构配件和设备在工程上使用或安装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监理下达停工指令拒不执行</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58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未对建筑材料、建筑构配件、设备和商品混凝土进行检验，或者未对涉及结构安全的试块、试件以及有关材料取样检测直接使用</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施工过程中偷工减料</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原材料堆放混乱，对使用质量造成影响</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工程检查中抽测实体质量不合格</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6分/次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124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因施工原因出现质量问题，对工程实体质量影响不大</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如水泥混凝土表面蜂窝麻面、砌筑砂浆不饱满、钢筋混凝土保护层不够等</w:t>
            </w: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因施工原因发生一般质量责任事故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出现质量问题经整改仍达不到要求的</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GLSG2-3-19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施工现场管理混乱</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GLSG2-3-20</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内业资料不全或不规范</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1-2分/项次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GLSG2-3-21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工地试验室不符合要求</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1-3分/项次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GLSG2-3-22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试验检测数据或内业资料虚假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5分/项次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GLSG2-3-23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未达到合同约定的质量标准</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GLSG2-3-24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不配合项目法人进行交工验收</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GLSG2-3-25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因施工单位原因造成工程进度滞后计划工期或合同工期</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1分/延迟10日</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GLSG2-3-26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不履行保修义务或者拖延履行保修义务</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GLSG2-3-27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原材料、工程实体质量抽检未按规定执行，自检频率不符合要求</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财务管理（满分10分，扣完为止。行为代码GLSG2-4）</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GLSG2-4-1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财务管理制度不健全</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GLSG2-4-2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left"/>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财务管理混乱，管理台账不完备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GLSG2-4-3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工程变更弄虚作假</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6分/次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GLSG2-4-4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虚假计量</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GLSG2-4-5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流动资金不能满足工程建设</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GLSG2-4-6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挪用工程款，造成管理混乱、进度滞后等不良影响</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GLSG2-4-7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因施工单位原因拖欠工程款、农民工工资、材料款、尚未造成影响</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安全生产（满分20分，扣完为止，行为代码GLSG2-5）</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因施工单位原因未签订安全生产合同</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未建立健全安全生产规章制度、操作规程或安全生产保证体系</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62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项目负责人、专职安全生产管理人员、作业人员或者特种作业人员，未经安全教育培训或考核不合格即从事相关工作</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7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未对职工进行安全生产教育和培训，或者未如实告知有关安全生产事项</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76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未在施工现场的危险部位设置明显的安全警示标志和安全防护，或者未按照国家有关规定在施工现场设置消防通道、消防水源、配备消防设施和灭火器材</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未向作业人员提供安全防护用具和安全防护服装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84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特种设备未经具有专业资质的机构检测、检验合格，取得安全使用证或者安全标志，投入使用，或使用未经验收或者验收不合格的施工起重机械和整体提升脚手架、模板等自升式架设设施</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5分/台次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7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储存、使用危险物品，未建立专门安全管理制度、未采取可靠的安全措施或者不接受有关主管部门依法实施的监督管理</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4分/次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52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对重大危险源未登记建档，或者未进行评估、监控，或者未制定应急预案</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4分/次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GLSG2-5-10</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进行爆破、吊装等危险作业，未安排专门管理人员</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10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从业人员不服从管理，违反安全生产规章制度或者操作规程</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未及时、如实报告生产安全事故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66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主要负责人在本单位发生重大生产安全事故时，不立即组织抢救或者在事故调查处理期间擅离职守或者逃匿</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每项工程实施前，未进行安全生产技术交底</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62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未根据不同施工阶段和周围环境及季节、气候的变化，在施工现场采取相应的安全施工措施</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施工现场临时搭建的建筑物不符合安全使用要求</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对危险性较大的工程未编制专项施工方案并附安全验算结果</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6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GLSG2-5-19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未对因养护工程施工可能造成损害的毗临建筑物、构筑物和地下管线等采取专项防护措施</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6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GLSG2-5-20</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安全防护用具、机械设备、施工机具及配件在进入施工现场前未经查验或者查验不合格即投入使用</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58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委托不具有相应资质的单位承担施工现场安装、拆卸施工起重机械和整体提升脚手架、模板等自升式架设设施</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78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未取得安全生产许可证擅自进行生产，安全生产许可证有效期满未办理延期手续，继续进行生产；逾期仍不办理延期手续，继续进行生产</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使用伪造的安全生产许可证</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94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多次整改仍然存在安全问题；对存在重大安全事故隐患但拒绝整改或者整改效果不明显</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72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在水域进行施工以及划定相应的安全作业区，未报经主管机关核准公告；施工单位擅自扩大安全作业区范围</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4分/次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施工现场防护不到位，存在安全隐患</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发生一般安全生产责任事故</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未办理施工现场人员人身意外伤害保险</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GLSG2-5-29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挪用列入工程的安全生产专项费用</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社会责任（满分10分，扣完为止。行为代码GLSG2-6）</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GLSG2-6-1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施工产生的废渣随意堆放或丢弃、废水随意排放</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GLSG2-6-2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在崩塌滑坡危险区、泥石流易发区范围取土、挖砂或者采石</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8分/次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GLSG2-6-3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施工中破坏生态环境</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GLSG2-6-4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施工过程中造成水土流失，不进行治理</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4分/次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GLSG2-6-5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生活区、办公区设置杂乱，卫生环境差</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GLSG2-6-6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建设项目出现突发事件，拒不执行应急或救援任务</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10分/次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GLSG2-6-7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临时占用农田、林地等未及时复垦或恢复原状</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GLSG2-6-8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未按要求签订廉政合同</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GLSG2-6-9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违反廉政合同</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5分/人次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74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其它履约失信行为（行为代码GLSG2-7）</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GLSG2-7-1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无正当理由不执行项目法人或现场管理结构指令，不按要求提交相关报表、文件、资料</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GLSG2-7-2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负责人之一未办理规定的请假手续</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GLSG2-7-3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主要施工设备未经批准，擅自调离工地</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GLSG2-7-4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无正当理由不签认监理指令，或拒不执行监理指令</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GLSG2-7-5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委托不符合要求的机构和个人进行施工检测</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GLSG2-7-6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因交通组织方案未落实到位造成车辆严重拥堵2次以上</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62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GLSG2-7-7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由于施工单位原因造成工期拖延，被项目法人发函要求其上级单位督办3次，不能解决问题，影响按期完工</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GLSG2-7-8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项目建设期间和通车运营后出现严重质量问题造成恶劣影响的</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GLSG2-7-9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工程变更弄虚作假或虚假计量，造成严重后果</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520" w:hRule="atLeast"/>
          <w:jc w:val="center"/>
        </w:trPr>
        <w:tc>
          <w:tcPr>
            <w:tcW w:w="296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其它行为（行为代码GLSG3）</w:t>
            </w: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GLSG3-1</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施工单位填报向社会公布的信息，存在虚假的</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3分/次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在单位总分中扣除</w:t>
            </w:r>
          </w:p>
        </w:tc>
      </w:tr>
      <w:tr>
        <w:tblPrEx>
          <w:tblCellMar>
            <w:top w:w="0" w:type="dxa"/>
            <w:left w:w="0" w:type="dxa"/>
            <w:bottom w:w="0" w:type="dxa"/>
            <w:right w:w="0" w:type="dxa"/>
          </w:tblCellMar>
        </w:tblPrEx>
        <w:trPr>
          <w:trHeight w:val="400" w:hRule="atLeast"/>
          <w:jc w:val="center"/>
        </w:trPr>
        <w:tc>
          <w:tcPr>
            <w:tcW w:w="296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GLSG3-2</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信用评价弄虚作假或以不正当手段骗取较高信用等级</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4分/次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在单位总分中扣除</w:t>
            </w:r>
          </w:p>
        </w:tc>
      </w:tr>
      <w:tr>
        <w:tblPrEx>
          <w:tblCellMar>
            <w:top w:w="0" w:type="dxa"/>
            <w:left w:w="0" w:type="dxa"/>
            <w:bottom w:w="0" w:type="dxa"/>
            <w:right w:w="0" w:type="dxa"/>
          </w:tblCellMar>
        </w:tblPrEx>
        <w:trPr>
          <w:trHeight w:val="580" w:hRule="atLeast"/>
          <w:jc w:val="center"/>
        </w:trPr>
        <w:tc>
          <w:tcPr>
            <w:tcW w:w="296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GLSG3-3</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被省交通运输厅、省公路局、市交通运输局、质量监督机构通报批评</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在单位总分中扣除</w:t>
            </w:r>
          </w:p>
        </w:tc>
      </w:tr>
      <w:tr>
        <w:tblPrEx>
          <w:tblCellMar>
            <w:top w:w="0" w:type="dxa"/>
            <w:left w:w="0" w:type="dxa"/>
            <w:bottom w:w="0" w:type="dxa"/>
            <w:right w:w="0" w:type="dxa"/>
          </w:tblCellMar>
        </w:tblPrEx>
        <w:trPr>
          <w:trHeight w:val="400" w:hRule="atLeast"/>
          <w:jc w:val="center"/>
        </w:trPr>
        <w:tc>
          <w:tcPr>
            <w:tcW w:w="296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GLSG3-4</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被国务院交通运输主管部门通报批评</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5分/次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在单位总分中扣除</w:t>
            </w:r>
          </w:p>
        </w:tc>
      </w:tr>
      <w:tr>
        <w:tblPrEx>
          <w:tblCellMar>
            <w:top w:w="0" w:type="dxa"/>
            <w:left w:w="0" w:type="dxa"/>
            <w:bottom w:w="0" w:type="dxa"/>
            <w:right w:w="0" w:type="dxa"/>
          </w:tblCellMar>
        </w:tblPrEx>
        <w:trPr>
          <w:trHeight w:val="400" w:hRule="atLeast"/>
          <w:jc w:val="center"/>
        </w:trPr>
        <w:tc>
          <w:tcPr>
            <w:tcW w:w="296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GLSG3-5</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被举报经查实存在的一般质量问题、安全隐患</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在单位总分中扣除</w:t>
            </w:r>
          </w:p>
        </w:tc>
      </w:tr>
      <w:tr>
        <w:tblPrEx>
          <w:tblCellMar>
            <w:top w:w="0" w:type="dxa"/>
            <w:left w:w="0" w:type="dxa"/>
            <w:bottom w:w="0" w:type="dxa"/>
            <w:right w:w="0" w:type="dxa"/>
          </w:tblCellMar>
        </w:tblPrEx>
        <w:trPr>
          <w:trHeight w:val="400" w:hRule="atLeast"/>
          <w:jc w:val="center"/>
        </w:trPr>
        <w:tc>
          <w:tcPr>
            <w:tcW w:w="296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GLSG3-6</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拒绝参与交通运输主管部门组织的应急抢险任务</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在单位总分中扣除</w:t>
            </w:r>
          </w:p>
        </w:tc>
      </w:tr>
      <w:tr>
        <w:tblPrEx>
          <w:tblCellMar>
            <w:top w:w="0" w:type="dxa"/>
            <w:left w:w="0" w:type="dxa"/>
            <w:bottom w:w="0" w:type="dxa"/>
            <w:right w:w="0" w:type="dxa"/>
          </w:tblCellMar>
        </w:tblPrEx>
        <w:trPr>
          <w:trHeight w:val="580" w:hRule="atLeast"/>
          <w:jc w:val="center"/>
        </w:trPr>
        <w:tc>
          <w:tcPr>
            <w:tcW w:w="296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GLSG3-7</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恶意拖欠农民工工资被强制执行，或因拖欠问题造成群体事件或不良社会影响的</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296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GLSG3-8</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因自身原因无法继续履约，被项目法人清退出场或终止合同</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直接定为D级</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rPr>
                <w:rFonts w:hint="eastAsia" w:ascii="仿宋_GB2312" w:hAnsi="宋体" w:eastAsia="仿宋_GB2312" w:cs="仿宋_GB2312"/>
                <w:color w:val="auto"/>
                <w:sz w:val="20"/>
                <w:szCs w:val="20"/>
                <w:highlight w:val="none"/>
                <w:shd w:val="clear" w:color="auto" w:fill="auto"/>
              </w:rPr>
            </w:pPr>
          </w:p>
        </w:tc>
      </w:tr>
      <w:tr>
        <w:tblPrEx>
          <w:tblCellMar>
            <w:top w:w="0" w:type="dxa"/>
            <w:left w:w="0" w:type="dxa"/>
            <w:bottom w:w="0" w:type="dxa"/>
            <w:right w:w="0" w:type="dxa"/>
          </w:tblCellMar>
        </w:tblPrEx>
        <w:trPr>
          <w:trHeight w:val="400" w:hRule="atLeast"/>
          <w:jc w:val="center"/>
        </w:trPr>
        <w:tc>
          <w:tcPr>
            <w:tcW w:w="296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rPr>
                <w:rFonts w:hint="eastAsia" w:ascii="仿宋_GB2312" w:hAnsi="宋体" w:eastAsia="仿宋_GB2312" w:cs="仿宋_GB2312"/>
                <w:color w:val="auto"/>
                <w:sz w:val="20"/>
                <w:szCs w:val="20"/>
                <w:highlight w:val="none"/>
                <w:shd w:val="clear" w:color="auto" w:fill="auto"/>
              </w:rPr>
            </w:pPr>
          </w:p>
        </w:tc>
        <w:tc>
          <w:tcPr>
            <w:tcW w:w="12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jc w:val="center"/>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GLSG3-9</w:t>
            </w:r>
          </w:p>
        </w:tc>
        <w:tc>
          <w:tcPr>
            <w:tcW w:w="6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被交通运输主管部门或其他监管机构约谈</w:t>
            </w:r>
          </w:p>
        </w:tc>
        <w:tc>
          <w:tcPr>
            <w:tcW w:w="2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2分/次</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adjustRightInd w:val="0"/>
              <w:snapToGrid w:val="0"/>
              <w:textAlignment w:val="center"/>
              <w:rPr>
                <w:rFonts w:hint="eastAsia" w:ascii="仿宋_GB2312" w:hAnsi="宋体" w:eastAsia="仿宋_GB2312" w:cs="仿宋_GB2312"/>
                <w:color w:val="auto"/>
                <w:sz w:val="20"/>
                <w:szCs w:val="20"/>
                <w:highlight w:val="none"/>
                <w:shd w:val="clear" w:color="auto" w:fill="auto"/>
              </w:rPr>
            </w:pPr>
            <w:r>
              <w:rPr>
                <w:rFonts w:hint="eastAsia" w:ascii="仿宋_GB2312" w:hAnsi="宋体" w:eastAsia="仿宋_GB2312" w:cs="仿宋_GB2312"/>
                <w:color w:val="auto"/>
                <w:kern w:val="0"/>
                <w:sz w:val="20"/>
                <w:szCs w:val="20"/>
                <w:highlight w:val="none"/>
                <w:shd w:val="clear" w:color="auto" w:fill="auto"/>
                <w:lang w:bidi="ar"/>
              </w:rPr>
              <w:t>在单位总分中扣除</w:t>
            </w:r>
          </w:p>
        </w:tc>
      </w:tr>
    </w:tbl>
    <w:p>
      <w:pPr>
        <w:spacing w:line="600" w:lineRule="exact"/>
        <w:rPr>
          <w:rFonts w:hint="eastAsia" w:ascii="仿宋_GB2312" w:hAnsi="仿宋_GB2312" w:eastAsia="仿宋_GB2312" w:cs="仿宋_GB2312"/>
          <w:color w:val="auto"/>
          <w:kern w:val="0"/>
          <w:szCs w:val="32"/>
          <w:shd w:val="clear" w:color="auto" w:fill="auto"/>
        </w:rPr>
        <w:sectPr>
          <w:pgSz w:w="16838" w:h="11906" w:orient="landscape"/>
          <w:pgMar w:top="1587" w:right="2098" w:bottom="1474" w:left="1984" w:header="851" w:footer="1701" w:gutter="0"/>
          <w:pgNumType w:fmt="numberInDash"/>
          <w:cols w:space="720" w:num="1"/>
          <w:docGrid w:type="linesAndChars" w:linePitch="579" w:charSpace="-842"/>
        </w:sectPr>
      </w:pPr>
      <w:bookmarkStart w:id="0" w:name="_GoBack"/>
      <w:bookmarkEnd w:id="0"/>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9589F"/>
    <w:rsid w:val="0DF508CD"/>
    <w:rsid w:val="41E9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link w:val="8"/>
    <w:semiHidden/>
    <w:uiPriority w:val="0"/>
    <w:rPr>
      <w:szCs w:val="21"/>
    </w:rPr>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spacing w:line="454" w:lineRule="atLeast"/>
      <w:ind w:left="1" w:firstLine="419"/>
      <w:jc w:val="both"/>
    </w:pPr>
    <w:rPr>
      <w:rFonts w:ascii="Calibri" w:hAnsi="Calibri" w:eastAsia="宋体" w:cs="Times New Roman"/>
      <w:color w:val="000000"/>
      <w:spacing w:val="4"/>
      <w:sz w:val="32"/>
      <w:szCs w:val="22"/>
      <w:lang w:val="en-US" w:eastAsia="zh-CN" w:bidi="ar-SA"/>
    </w:rPr>
  </w:style>
  <w:style w:type="paragraph" w:styleId="3">
    <w:name w:val="Body Text"/>
    <w:basedOn w:val="1"/>
    <w:qFormat/>
    <w:uiPriority w:val="0"/>
    <w:pPr>
      <w:spacing w:after="120" w:afterLines="0"/>
    </w:pPr>
    <w:rPr>
      <w:rFonts w:ascii="Calibri" w:hAnsi="Calibri" w:cs="Times New Roman"/>
      <w:szCs w:val="24"/>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 Char Char Char Char Char Char Char"/>
    <w:basedOn w:val="1"/>
    <w:link w:val="7"/>
    <w:qFormat/>
    <w:uiPriority w:val="0"/>
    <w:rPr>
      <w:szCs w:val="21"/>
    </w:rPr>
  </w:style>
  <w:style w:type="character" w:customStyle="1" w:styleId="9">
    <w:name w:val="font01"/>
    <w:basedOn w:val="7"/>
    <w:qFormat/>
    <w:uiPriority w:val="0"/>
    <w:rPr>
      <w:rFonts w:ascii="方正小标宋简体" w:hAnsi="方正小标宋简体" w:eastAsia="方正小标宋简体" w:cs="方正小标宋简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2020-11-17T06:20:00Z</dcterms:created>
  <dc:creator>雨露</dc:creator>
  <cp:lastModifiedBy>雨露</cp:lastModifiedBy>
  <dcterms:modified xsi:type="dcterms:W3CDTF">2020-11-17T06:32:59Z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